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189D6" w14:textId="18F5597B" w:rsidR="00351A81" w:rsidRPr="0049755C" w:rsidRDefault="00351A81" w:rsidP="00351A81">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WG3 #100</w:t>
      </w:r>
      <w:r w:rsidRPr="0049755C">
        <w:rPr>
          <w:rFonts w:ascii="Arial" w:hAnsi="Arial" w:cs="Arial"/>
          <w:b/>
          <w:sz w:val="24"/>
          <w:lang w:val="en-GB"/>
        </w:rPr>
        <w:tab/>
        <w:t xml:space="preserve">     </w:t>
      </w:r>
      <w:r w:rsidRPr="0049755C">
        <w:rPr>
          <w:rFonts w:ascii="Arial" w:hAnsi="Arial" w:cs="Arial"/>
          <w:b/>
          <w:sz w:val="24"/>
          <w:lang w:val="en-GB"/>
        </w:rPr>
        <w:tab/>
      </w:r>
      <w:r w:rsidRPr="0049755C">
        <w:rPr>
          <w:rFonts w:ascii="Arial" w:hAnsi="Arial" w:cs="Arial"/>
          <w:b/>
          <w:sz w:val="24"/>
          <w:lang w:val="en-GB"/>
        </w:rPr>
        <w:tab/>
      </w:r>
      <w:r w:rsidR="00093AC2" w:rsidRPr="00093AC2">
        <w:rPr>
          <w:rFonts w:ascii="Arial" w:hAnsi="Arial" w:cs="Arial"/>
          <w:b/>
          <w:sz w:val="24"/>
          <w:lang w:val="en-GB"/>
        </w:rPr>
        <w:t>R3-183194</w:t>
      </w:r>
      <w:bookmarkStart w:id="2" w:name="_GoBack"/>
      <w:bookmarkEnd w:id="2"/>
    </w:p>
    <w:p w14:paraId="53219229" w14:textId="4ED6BE29" w:rsidR="00351A81" w:rsidRPr="0049755C" w:rsidRDefault="00A362D0" w:rsidP="00351A81">
      <w:pPr>
        <w:pStyle w:val="TdocHeader2"/>
        <w:tabs>
          <w:tab w:val="clear" w:pos="9072"/>
          <w:tab w:val="right" w:pos="9720"/>
        </w:tabs>
        <w:rPr>
          <w:rFonts w:eastAsia="Malgun Gothic" w:cs="Arial"/>
          <w:sz w:val="24"/>
          <w:lang w:val="en-US" w:eastAsia="ko-KR"/>
        </w:rPr>
      </w:pPr>
      <w:r w:rsidRPr="00A362D0">
        <w:rPr>
          <w:rFonts w:eastAsia="Malgun Gothic" w:cs="Arial"/>
          <w:sz w:val="24"/>
          <w:lang w:val="en-US" w:eastAsia="ko-KR"/>
        </w:rPr>
        <w:t>Busan, Korea, 21st - 25th May 2018</w:t>
      </w:r>
      <w:r w:rsidR="00351A81"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57ED1FA1" w:rsidR="00D52BF3" w:rsidRPr="00B208AD" w:rsidRDefault="00D52BF3" w:rsidP="00D730DD">
      <w:pPr>
        <w:pStyle w:val="TdocHeader2"/>
        <w:spacing w:after="120"/>
        <w:ind w:left="1710" w:hanging="1710"/>
        <w:jc w:val="left"/>
        <w:rPr>
          <w:sz w:val="24"/>
        </w:rPr>
      </w:pPr>
      <w:r w:rsidRPr="00B208AD">
        <w:rPr>
          <w:sz w:val="24"/>
        </w:rPr>
        <w:t>Title:</w:t>
      </w:r>
      <w:bookmarkStart w:id="3" w:name="Title"/>
      <w:bookmarkEnd w:id="3"/>
      <w:r w:rsidRPr="00B208AD">
        <w:rPr>
          <w:sz w:val="24"/>
        </w:rPr>
        <w:tab/>
      </w:r>
      <w:r w:rsidR="00D730DD">
        <w:rPr>
          <w:sz w:val="24"/>
        </w:rPr>
        <w:tab/>
      </w:r>
      <w:r w:rsidR="005653FB">
        <w:rPr>
          <w:sz w:val="24"/>
        </w:rPr>
        <w:t>Architecture considerations for L2 relaying for IAB</w:t>
      </w:r>
    </w:p>
    <w:p w14:paraId="08AD6C06" w14:textId="519ED15F" w:rsidR="00D52BF3" w:rsidRPr="00B208AD" w:rsidRDefault="00D52BF3" w:rsidP="00700F24">
      <w:pPr>
        <w:pStyle w:val="TdocHeader2"/>
        <w:spacing w:after="120"/>
        <w:rPr>
          <w:sz w:val="24"/>
        </w:rPr>
      </w:pPr>
      <w:r w:rsidRPr="00B208AD">
        <w:rPr>
          <w:sz w:val="24"/>
        </w:rPr>
        <w:t>Agenda Item:</w:t>
      </w:r>
      <w:r w:rsidRPr="00B208AD">
        <w:rPr>
          <w:sz w:val="24"/>
        </w:rPr>
        <w:tab/>
      </w:r>
      <w:r w:rsidR="00D730DD">
        <w:rPr>
          <w:bCs/>
          <w:iCs/>
          <w:sz w:val="24"/>
        </w:rPr>
        <w:t>24</w:t>
      </w:r>
      <w:r w:rsidR="009D3945">
        <w:rPr>
          <w:bCs/>
          <w:iCs/>
          <w:sz w:val="24"/>
        </w:rPr>
        <w:t>.1</w:t>
      </w:r>
      <w:r w:rsidR="00AF5E31">
        <w:rPr>
          <w:bCs/>
          <w:iCs/>
          <w:sz w:val="24"/>
        </w:rPr>
        <w:t>.1</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33808E10" w:rsidR="00AA7B2F" w:rsidRDefault="00317DDA" w:rsidP="00D11AD9">
      <w:pPr>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for </w:t>
      </w:r>
      <w:r w:rsidR="00D25060">
        <w:rPr>
          <w:lang w:val="en-GB"/>
        </w:rPr>
        <w:t xml:space="preserve">the </w:t>
      </w:r>
      <w:r w:rsidR="00AA7B2F">
        <w:rPr>
          <w:lang w:val="en-GB"/>
        </w:rPr>
        <w:t xml:space="preserve">following </w:t>
      </w:r>
      <w:r w:rsidRPr="00317DDA">
        <w:rPr>
          <w:lang w:val="en-GB"/>
        </w:rPr>
        <w:t>requirements and aspects associated with the efficient operation of integrated acce</w:t>
      </w:r>
      <w:r w:rsidR="00E05BED">
        <w:rPr>
          <w:lang w:val="en-GB"/>
        </w:rPr>
        <w:t>ss and wireless backhaul for NR [1].</w:t>
      </w:r>
      <w:r>
        <w:rPr>
          <w:lang w:val="en-GB"/>
        </w:rPr>
        <w:t xml:space="preserve"> </w:t>
      </w:r>
    </w:p>
    <w:p w14:paraId="08E222CA" w14:textId="77777777" w:rsidR="00AA7B2F" w:rsidRPr="00081E05" w:rsidRDefault="00AA7B2F" w:rsidP="00AA7B2F">
      <w:pPr>
        <w:numPr>
          <w:ilvl w:val="0"/>
          <w:numId w:val="40"/>
        </w:numPr>
        <w:spacing w:after="0"/>
        <w:rPr>
          <w:bCs/>
        </w:rPr>
      </w:pPr>
      <w:r>
        <w:rPr>
          <w:bCs/>
        </w:rPr>
        <w:t xml:space="preserve">Efficient and flexible operation for both </w:t>
      </w:r>
      <w:proofErr w:type="spellStart"/>
      <w:r>
        <w:rPr>
          <w:bCs/>
        </w:rPr>
        <w:t>i</w:t>
      </w:r>
      <w:r w:rsidRPr="00081E05">
        <w:rPr>
          <w:bCs/>
        </w:rPr>
        <w:t>nband</w:t>
      </w:r>
      <w:proofErr w:type="spellEnd"/>
      <w:r w:rsidRPr="00081E05">
        <w:rPr>
          <w:bCs/>
        </w:rPr>
        <w:t xml:space="preserve"> and </w:t>
      </w:r>
      <w:proofErr w:type="spellStart"/>
      <w:r w:rsidRPr="00081E05">
        <w:rPr>
          <w:bCs/>
        </w:rPr>
        <w:t>outband</w:t>
      </w:r>
      <w:proofErr w:type="spellEnd"/>
      <w:r>
        <w:rPr>
          <w:bCs/>
        </w:rPr>
        <w:t xml:space="preserve"> relaying in indoor and outdoor scenarios </w:t>
      </w:r>
    </w:p>
    <w:p w14:paraId="665D4525" w14:textId="77777777" w:rsidR="00AA7B2F" w:rsidRDefault="00AA7B2F" w:rsidP="00AA7B2F">
      <w:pPr>
        <w:numPr>
          <w:ilvl w:val="0"/>
          <w:numId w:val="40"/>
        </w:numPr>
        <w:spacing w:after="0"/>
        <w:rPr>
          <w:bCs/>
        </w:rPr>
      </w:pPr>
      <w:r>
        <w:rPr>
          <w:bCs/>
        </w:rPr>
        <w:t>M</w:t>
      </w:r>
      <w:r w:rsidRPr="00081E05">
        <w:rPr>
          <w:bCs/>
        </w:rPr>
        <w:t>ulti-hop and redundant connectivity</w:t>
      </w:r>
    </w:p>
    <w:p w14:paraId="23328B43" w14:textId="77777777" w:rsidR="00AA7B2F" w:rsidRDefault="00AA7B2F" w:rsidP="00AA7B2F">
      <w:pPr>
        <w:numPr>
          <w:ilvl w:val="0"/>
          <w:numId w:val="40"/>
        </w:numPr>
        <w:spacing w:after="0"/>
        <w:rPr>
          <w:bCs/>
        </w:rPr>
      </w:pPr>
      <w:r>
        <w:rPr>
          <w:bCs/>
        </w:rPr>
        <w:t>End-to-end route selection and optimization</w:t>
      </w:r>
    </w:p>
    <w:p w14:paraId="6515559D" w14:textId="77777777" w:rsidR="00AA7B2F" w:rsidRDefault="00AA7B2F" w:rsidP="00AA7B2F">
      <w:pPr>
        <w:numPr>
          <w:ilvl w:val="0"/>
          <w:numId w:val="40"/>
        </w:numPr>
        <w:spacing w:after="0"/>
        <w:rPr>
          <w:bCs/>
        </w:rPr>
      </w:pPr>
      <w:r>
        <w:rPr>
          <w:bCs/>
        </w:rPr>
        <w:t>Support of backhaul links with high spectral efficiency</w:t>
      </w:r>
    </w:p>
    <w:p w14:paraId="017D6EF8" w14:textId="2CE1AB28" w:rsidR="00AA7B2F" w:rsidRDefault="00AA7B2F" w:rsidP="00D11AD9">
      <w:pPr>
        <w:numPr>
          <w:ilvl w:val="0"/>
          <w:numId w:val="40"/>
        </w:numPr>
        <w:spacing w:after="0"/>
        <w:rPr>
          <w:bCs/>
        </w:rPr>
      </w:pPr>
      <w:r w:rsidRPr="00081E05">
        <w:rPr>
          <w:bCs/>
        </w:rPr>
        <w:t xml:space="preserve">Support of legacy </w:t>
      </w:r>
      <w:r>
        <w:rPr>
          <w:bCs/>
        </w:rPr>
        <w:t xml:space="preserve">NR </w:t>
      </w:r>
      <w:r w:rsidRPr="00081E05">
        <w:rPr>
          <w:bCs/>
        </w:rPr>
        <w:t>UEs</w:t>
      </w:r>
    </w:p>
    <w:p w14:paraId="686FE11D" w14:textId="77777777" w:rsidR="00F14D2B" w:rsidRPr="00F14D2B" w:rsidRDefault="00F14D2B" w:rsidP="00F14D2B">
      <w:pPr>
        <w:spacing w:after="0"/>
        <w:ind w:left="720"/>
        <w:rPr>
          <w:bCs/>
        </w:rPr>
      </w:pPr>
    </w:p>
    <w:p w14:paraId="385E6D1B" w14:textId="6FF450C9" w:rsidR="00827431" w:rsidRDefault="00827431" w:rsidP="00D11AD9">
      <w:pPr>
        <w:rPr>
          <w:lang w:val="en-GB"/>
        </w:rPr>
      </w:pPr>
      <w:r>
        <w:rPr>
          <w:lang w:val="en-GB"/>
        </w:rPr>
        <w:t xml:space="preserve">At the RAN2 #AH_1801 meeting </w:t>
      </w:r>
      <w:r w:rsidR="00035EA3">
        <w:rPr>
          <w:lang w:val="en-GB"/>
        </w:rPr>
        <w:t>the following agreements were made regarding IAB SI:</w:t>
      </w:r>
    </w:p>
    <w:p w14:paraId="4DECDFB5"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Agreements</w:t>
      </w:r>
    </w:p>
    <w:p w14:paraId="134F01C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 xml:space="preserve">1: </w:t>
      </w:r>
      <w:r w:rsidRPr="00035EA3">
        <w:rPr>
          <w:rFonts w:ascii="Arial" w:eastAsia="MS Mincho" w:hAnsi="Arial"/>
          <w:sz w:val="20"/>
          <w:szCs w:val="24"/>
          <w:lang w:val="x-none" w:eastAsia="en-GB"/>
        </w:rPr>
        <w:tab/>
        <w:t>The Rel.15 study item focuses on IAB with physically fixed relays. Optimization for mobile relays in future releases is not precluded</w:t>
      </w:r>
    </w:p>
    <w:p w14:paraId="59037BF7"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2</w:t>
      </w:r>
      <w:r w:rsidRPr="00035EA3">
        <w:rPr>
          <w:rFonts w:ascii="Arial" w:eastAsia="MS Mincho" w:hAnsi="Arial"/>
          <w:sz w:val="20"/>
          <w:szCs w:val="24"/>
          <w:lang w:val="x-none" w:eastAsia="en-GB"/>
        </w:rPr>
        <w:tab/>
        <w:t xml:space="preserve">Common architecture supports both in-band and out-of-band IAB scenarios. </w:t>
      </w:r>
    </w:p>
    <w:p w14:paraId="75B7A2AC"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2i</w:t>
      </w:r>
      <w:r w:rsidRPr="00035EA3">
        <w:rPr>
          <w:rFonts w:ascii="Arial" w:eastAsia="MS Mincho" w:hAnsi="Arial"/>
          <w:sz w:val="20"/>
          <w:szCs w:val="24"/>
          <w:lang w:val="x-none" w:eastAsia="en-GB"/>
        </w:rPr>
        <w:tab/>
        <w:t>In-band IAB scenarios including (TDM/FDM/SDM) of access and backhaul links subject to half-duplex constraint at the IAB node are supported (This agreement does not exclude full duplex from being studied by RAN1)</w:t>
      </w:r>
    </w:p>
    <w:p w14:paraId="20E88890"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2ii</w:t>
      </w:r>
      <w:r w:rsidRPr="00035EA3">
        <w:rPr>
          <w:rFonts w:ascii="Arial" w:eastAsia="MS Mincho" w:hAnsi="Arial"/>
          <w:sz w:val="20"/>
          <w:szCs w:val="24"/>
          <w:lang w:val="x-none" w:eastAsia="en-GB"/>
        </w:rPr>
        <w:tab/>
        <w:t>Out-of-band IAB scenarios are also supported using the same set of RAN features designed for in-band scenarios.  Study whether additional RAN features are needed for out-of-band scenarios</w:t>
      </w:r>
    </w:p>
    <w:p w14:paraId="13CBBB55"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3</w:t>
      </w:r>
      <w:r w:rsidRPr="00035EA3">
        <w:rPr>
          <w:rFonts w:ascii="Arial" w:eastAsia="MS Mincho" w:hAnsi="Arial"/>
          <w:sz w:val="20"/>
          <w:szCs w:val="24"/>
          <w:lang w:val="x-none" w:eastAsia="en-GB"/>
        </w:rPr>
        <w:tab/>
        <w:t xml:space="preserve">NR access over NR backhaul is studied with highest priority </w:t>
      </w:r>
    </w:p>
    <w:p w14:paraId="09DE562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3i</w:t>
      </w:r>
      <w:r w:rsidRPr="00035EA3">
        <w:rPr>
          <w:rFonts w:ascii="Arial" w:eastAsia="MS Mincho" w:hAnsi="Arial"/>
          <w:sz w:val="20"/>
          <w:szCs w:val="24"/>
          <w:lang w:val="x-none" w:eastAsia="en-GB"/>
        </w:rPr>
        <w:tab/>
        <w:t>Identify the additional architecture solutions required for LTE access over NR backhaul</w:t>
      </w:r>
    </w:p>
    <w:p w14:paraId="319B67A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3ii</w:t>
      </w:r>
      <w:r w:rsidRPr="00035EA3">
        <w:rPr>
          <w:rFonts w:ascii="Arial" w:eastAsia="MS Mincho" w:hAnsi="Arial"/>
          <w:sz w:val="20"/>
          <w:szCs w:val="24"/>
          <w:lang w:val="x-none" w:eastAsia="en-GB"/>
        </w:rPr>
        <w:tab/>
        <w:t>The IAB design shall at least support the following UEs to connect to a node which is backhauled using IAB:</w:t>
      </w:r>
    </w:p>
    <w:p w14:paraId="31E3B9C6"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b/>
        <w:t>1/</w:t>
      </w:r>
      <w:r w:rsidRPr="00035EA3">
        <w:rPr>
          <w:rFonts w:ascii="Arial" w:eastAsia="MS Mincho" w:hAnsi="Arial"/>
          <w:sz w:val="20"/>
          <w:szCs w:val="24"/>
          <w:lang w:val="x-none" w:eastAsia="en-GB"/>
        </w:rPr>
        <w:tab/>
        <w:t>Rel. 15 NR UE</w:t>
      </w:r>
    </w:p>
    <w:p w14:paraId="085AA771"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b/>
        <w:t>2/</w:t>
      </w:r>
      <w:r w:rsidRPr="00035EA3">
        <w:rPr>
          <w:rFonts w:ascii="Arial" w:eastAsia="MS Mincho" w:hAnsi="Arial"/>
          <w:sz w:val="20"/>
          <w:szCs w:val="24"/>
          <w:lang w:val="x-none" w:eastAsia="en-GB"/>
        </w:rPr>
        <w:tab/>
        <w:t>Legacy LTE UE if IAB supports backhauling of LTE access</w:t>
      </w:r>
    </w:p>
    <w:p w14:paraId="18D64A9B"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4i</w:t>
      </w:r>
      <w:r w:rsidRPr="00035EA3">
        <w:rPr>
          <w:rFonts w:ascii="Arial" w:eastAsia="MS Mincho" w:hAnsi="Arial"/>
          <w:sz w:val="20"/>
          <w:szCs w:val="24"/>
          <w:lang w:val="x-none" w:eastAsia="en-GB"/>
        </w:rPr>
        <w:tab/>
        <w:t>SA and NSA on the access link will be supported (For NSA on the access the relay is applied to the NR SCG path only)</w:t>
      </w:r>
    </w:p>
    <w:p w14:paraId="6FF8EAC2"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4ii</w:t>
      </w:r>
      <w:r w:rsidRPr="00035EA3">
        <w:rPr>
          <w:rFonts w:ascii="Arial" w:eastAsia="MS Mincho" w:hAnsi="Arial"/>
          <w:sz w:val="20"/>
          <w:szCs w:val="24"/>
          <w:lang w:val="x-none" w:eastAsia="en-GB"/>
        </w:rPr>
        <w:tab/>
        <w:t xml:space="preserve">Both NSA and SA for the backhaul links will be studied. (For both SA and NSA backhaul, we will not study backhaul traffic over the LTE radio interface). </w:t>
      </w:r>
    </w:p>
    <w:p w14:paraId="3B52F522"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4iii</w:t>
      </w:r>
      <w:r w:rsidRPr="00035EA3">
        <w:rPr>
          <w:rFonts w:ascii="Arial" w:eastAsia="MS Mincho" w:hAnsi="Arial"/>
          <w:sz w:val="20"/>
          <w:szCs w:val="24"/>
          <w:lang w:val="x-none" w:eastAsia="en-GB"/>
        </w:rPr>
        <w:tab/>
        <w:t>For both 4i and 4ii the priority within the NSA options will be to consider the EN-DC case but this does not preclude study for other NSA options.</w:t>
      </w:r>
    </w:p>
    <w:p w14:paraId="7892FF7A"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4iv Further study of the possible combinations of SA and NSA access and backhaul is needed to fully determine the scope of what will be studied.</w:t>
      </w:r>
    </w:p>
    <w:p w14:paraId="2C7D019D" w14:textId="489A117A" w:rsidR="00035EA3" w:rsidRDefault="00035EA3" w:rsidP="00035EA3">
      <w:pPr>
        <w:rPr>
          <w:lang w:val="en-GB"/>
        </w:rPr>
      </w:pPr>
    </w:p>
    <w:p w14:paraId="3F8B1A63"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Agreements</w:t>
      </w:r>
    </w:p>
    <w:p w14:paraId="56801AFD"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1: IAB design shall support multiple backhaul hops</w:t>
      </w:r>
    </w:p>
    <w:p w14:paraId="0B983048"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b/>
        <w:t>-</w:t>
      </w:r>
      <w:r w:rsidRPr="00035EA3">
        <w:rPr>
          <w:rFonts w:ascii="Arial" w:eastAsia="MS Mincho" w:hAnsi="Arial"/>
          <w:sz w:val="20"/>
          <w:szCs w:val="24"/>
          <w:lang w:val="x-none" w:eastAsia="en-GB"/>
        </w:rPr>
        <w:tab/>
        <w:t>The architecture should not impose limits on the number of backhaul hops.</w:t>
      </w:r>
    </w:p>
    <w:p w14:paraId="688101DC"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lastRenderedPageBreak/>
        <w:tab/>
        <w:t>-</w:t>
      </w:r>
      <w:r w:rsidRPr="00035EA3">
        <w:rPr>
          <w:rFonts w:ascii="Arial" w:eastAsia="MS Mincho" w:hAnsi="Arial"/>
          <w:sz w:val="20"/>
          <w:szCs w:val="24"/>
          <w:lang w:val="x-none" w:eastAsia="en-GB"/>
        </w:rPr>
        <w:tab/>
        <w:t>The study should consider scalability to hop-count an important KPI.</w:t>
      </w:r>
    </w:p>
    <w:p w14:paraId="38314E9B"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ab/>
        <w:t>-</w:t>
      </w:r>
      <w:r w:rsidRPr="00035EA3">
        <w:rPr>
          <w:rFonts w:ascii="Arial" w:eastAsia="MS Mincho" w:hAnsi="Arial"/>
          <w:sz w:val="20"/>
          <w:szCs w:val="24"/>
          <w:lang w:val="x-none" w:eastAsia="en-GB"/>
        </w:rPr>
        <w:tab/>
        <w:t>Single hop is considered a special case of multiple backhaul hops.</w:t>
      </w:r>
    </w:p>
    <w:p w14:paraId="56A1698C"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2: Topology adaptation for physically fixed relays is supported to enable robust operation, e.g., mitigate blockage and load variation on backhaul links</w:t>
      </w:r>
    </w:p>
    <w:p w14:paraId="095B068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3: L2 and L3 relay architectures will be studied. Definitions of L2- and L3-relaying in the context of IAB is FFS</w:t>
      </w:r>
    </w:p>
    <w:p w14:paraId="0415A397"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4: The IAB design should minimize the impact to core network specifications</w:t>
      </w:r>
    </w:p>
    <w:p w14:paraId="4D317CB8"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 xml:space="preserve">5: The study should consider the impact to the core network </w:t>
      </w:r>
      <w:proofErr w:type="spellStart"/>
      <w:r w:rsidRPr="00035EA3">
        <w:rPr>
          <w:rFonts w:ascii="Arial" w:eastAsia="MS Mincho" w:hAnsi="Arial"/>
          <w:sz w:val="20"/>
          <w:szCs w:val="24"/>
          <w:lang w:val="x-none" w:eastAsia="en-GB"/>
        </w:rPr>
        <w:t>signalling</w:t>
      </w:r>
      <w:proofErr w:type="spellEnd"/>
      <w:r w:rsidRPr="00035EA3">
        <w:rPr>
          <w:rFonts w:ascii="Arial" w:eastAsia="MS Mincho" w:hAnsi="Arial"/>
          <w:sz w:val="20"/>
          <w:szCs w:val="24"/>
          <w:lang w:val="x-none" w:eastAsia="en-GB"/>
        </w:rPr>
        <w:t xml:space="preserve"> load as an important KPI</w:t>
      </w:r>
    </w:p>
    <w:p w14:paraId="7E8A86C4" w14:textId="77777777" w:rsidR="00035EA3" w:rsidRPr="00035EA3" w:rsidRDefault="00035EA3" w:rsidP="00035EA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x-none" w:eastAsia="en-GB"/>
        </w:rPr>
      </w:pPr>
      <w:r w:rsidRPr="00035EA3">
        <w:rPr>
          <w:rFonts w:ascii="Arial" w:eastAsia="MS Mincho" w:hAnsi="Arial"/>
          <w:sz w:val="20"/>
          <w:szCs w:val="24"/>
          <w:lang w:val="x-none" w:eastAsia="en-GB"/>
        </w:rPr>
        <w:t>6: Strive to maximize reuse of Rel-15 NR specifications for the design of the backhaul link. Enhancement can also be considered.</w:t>
      </w:r>
    </w:p>
    <w:p w14:paraId="76354284" w14:textId="1E3ED095" w:rsidR="00827431" w:rsidRDefault="00827431" w:rsidP="00D11AD9">
      <w:pPr>
        <w:rPr>
          <w:lang w:val="en-GB"/>
        </w:rPr>
      </w:pPr>
    </w:p>
    <w:p w14:paraId="105EFA16" w14:textId="77777777" w:rsidR="009906E8" w:rsidRDefault="009906E8" w:rsidP="009906E8">
      <w:pPr>
        <w:rPr>
          <w:rFonts w:eastAsia="Malgun Gothic"/>
        </w:rPr>
      </w:pPr>
      <w:r>
        <w:rPr>
          <w:lang w:val="en-GB"/>
        </w:rPr>
        <w:t xml:space="preserve">Additionally, in </w:t>
      </w:r>
      <w:r>
        <w:t>TR 38.874 v0.1.0 the terms IAB-node and the IAB-donor were defined as follows:</w:t>
      </w:r>
    </w:p>
    <w:p w14:paraId="26ACC6E8" w14:textId="77777777" w:rsidR="009906E8" w:rsidRDefault="009906E8" w:rsidP="009906E8">
      <w:pPr>
        <w:pStyle w:val="EW"/>
        <w:numPr>
          <w:ilvl w:val="0"/>
          <w:numId w:val="42"/>
        </w:numPr>
        <w:pBdr>
          <w:top w:val="single" w:sz="4" w:space="1" w:color="auto"/>
          <w:left w:val="single" w:sz="4" w:space="4" w:color="auto"/>
          <w:bottom w:val="single" w:sz="4" w:space="1" w:color="auto"/>
          <w:right w:val="single" w:sz="4" w:space="4" w:color="auto"/>
        </w:pBdr>
        <w:spacing w:after="120"/>
        <w:ind w:left="648"/>
      </w:pPr>
      <w:r>
        <w:rPr>
          <w:b/>
        </w:rPr>
        <w:t>IAB-node</w:t>
      </w:r>
      <w:r>
        <w:t xml:space="preserve">: RAN node that supports wireless access to UEs and wirelessly backhauls the access traffic. </w:t>
      </w:r>
    </w:p>
    <w:p w14:paraId="60C9CC8C" w14:textId="2838CF6A" w:rsidR="00723AD7" w:rsidRPr="008E46F2" w:rsidRDefault="009906E8" w:rsidP="00D11AD9">
      <w:pPr>
        <w:pStyle w:val="EW"/>
        <w:numPr>
          <w:ilvl w:val="0"/>
          <w:numId w:val="42"/>
        </w:numPr>
        <w:pBdr>
          <w:top w:val="single" w:sz="4" w:space="1" w:color="auto"/>
          <w:left w:val="single" w:sz="4" w:space="4" w:color="auto"/>
          <w:bottom w:val="single" w:sz="4" w:space="1" w:color="auto"/>
          <w:right w:val="single" w:sz="4" w:space="4" w:color="auto"/>
        </w:pBdr>
        <w:spacing w:after="120"/>
        <w:ind w:left="648"/>
      </w:pPr>
      <w:r>
        <w:rPr>
          <w:b/>
        </w:rPr>
        <w:t>IAB-donor</w:t>
      </w:r>
      <w:r>
        <w:t>: RAN node which provides UE’s interface to core network and wireless backhauling functionality to IAB nodes.</w:t>
      </w:r>
    </w:p>
    <w:p w14:paraId="69E51996" w14:textId="502216A9" w:rsidR="001F42C9" w:rsidRDefault="00723AD7" w:rsidP="008D370D">
      <w:pPr>
        <w:spacing w:before="240"/>
        <w:rPr>
          <w:lang w:val="en-GB"/>
        </w:rPr>
      </w:pPr>
      <w:r>
        <w:rPr>
          <w:lang w:val="en-GB"/>
        </w:rPr>
        <w:t xml:space="preserve">When IAB is deployed in a network where </w:t>
      </w:r>
      <w:proofErr w:type="spellStart"/>
      <w:r>
        <w:rPr>
          <w:lang w:val="en-GB"/>
        </w:rPr>
        <w:t>gNBs</w:t>
      </w:r>
      <w:proofErr w:type="spellEnd"/>
      <w:r>
        <w:rPr>
          <w:lang w:val="en-GB"/>
        </w:rPr>
        <w:t xml:space="preserve"> are deployed with a CU-DU split architecture, the F1-U and F1-C interfaces need to be relayed respectively from the CU-UP and CU-CP to the DU of the serving IAB node. </w:t>
      </w:r>
      <w:r w:rsidR="001F42C9">
        <w:rPr>
          <w:lang w:val="en-GB"/>
        </w:rPr>
        <w:t>In this contribution we present some considerations for the backhauling of F1-U and F1-</w:t>
      </w:r>
      <w:r w:rsidR="00104EC2">
        <w:rPr>
          <w:lang w:val="en-GB"/>
        </w:rPr>
        <w:t xml:space="preserve">C for </w:t>
      </w:r>
      <w:r w:rsidR="00AA41D3">
        <w:rPr>
          <w:lang w:val="en-GB"/>
        </w:rPr>
        <w:t>the following two</w:t>
      </w:r>
      <w:r w:rsidR="00104EC2">
        <w:rPr>
          <w:lang w:val="en-GB"/>
        </w:rPr>
        <w:t xml:space="preserve"> L2 relaying architectures that have been pro</w:t>
      </w:r>
      <w:r w:rsidR="00AA41D3">
        <w:rPr>
          <w:lang w:val="en-GB"/>
        </w:rPr>
        <w:t>posed and discussed in RAN3 [2]:</w:t>
      </w:r>
    </w:p>
    <w:p w14:paraId="77536EDE" w14:textId="77777777" w:rsidR="001B00DF" w:rsidRDefault="001B00DF" w:rsidP="001B00DF">
      <w:pPr>
        <w:spacing w:after="0"/>
        <w:rPr>
          <w:rFonts w:eastAsia="MS Mincho"/>
          <w:b/>
          <w:lang w:val="en-GB"/>
        </w:rPr>
      </w:pPr>
      <w:r>
        <w:rPr>
          <w:b/>
          <w:lang w:val="en-GB"/>
        </w:rPr>
        <w:t xml:space="preserve">Architecture 1a: </w:t>
      </w:r>
    </w:p>
    <w:p w14:paraId="56D13142" w14:textId="77777777" w:rsidR="001B00DF" w:rsidRDefault="001B00DF" w:rsidP="001B00DF">
      <w:pPr>
        <w:numPr>
          <w:ilvl w:val="0"/>
          <w:numId w:val="43"/>
        </w:numPr>
        <w:overflowPunct/>
        <w:autoSpaceDE/>
        <w:autoSpaceDN/>
        <w:adjustRightInd/>
        <w:spacing w:after="0" w:line="256" w:lineRule="auto"/>
        <w:textAlignment w:val="auto"/>
        <w:rPr>
          <w:lang w:val="en-GB"/>
        </w:rPr>
      </w:pPr>
      <w:r>
        <w:rPr>
          <w:lang w:val="en-GB"/>
        </w:rPr>
        <w:t xml:space="preserve">Backhauling of F1-U uses an adaptation layer or GTP-U combined with an adaptation layer. </w:t>
      </w:r>
    </w:p>
    <w:p w14:paraId="325B9F7F" w14:textId="77777777" w:rsidR="001B00DF" w:rsidRDefault="001B00DF" w:rsidP="001B00DF">
      <w:pPr>
        <w:numPr>
          <w:ilvl w:val="0"/>
          <w:numId w:val="43"/>
        </w:numPr>
        <w:overflowPunct/>
        <w:autoSpaceDE/>
        <w:autoSpaceDN/>
        <w:adjustRightInd/>
        <w:spacing w:after="0" w:line="256" w:lineRule="auto"/>
        <w:textAlignment w:val="auto"/>
        <w:rPr>
          <w:lang w:val="en-GB"/>
        </w:rPr>
      </w:pPr>
      <w:r>
        <w:rPr>
          <w:lang w:val="en-GB"/>
        </w:rPr>
        <w:t>Hop-by-hop forwarding across intermediate nodes uses the adaptation layer.</w:t>
      </w:r>
    </w:p>
    <w:p w14:paraId="000A01CC" w14:textId="61BED558" w:rsidR="001B00DF" w:rsidRDefault="001B00DF" w:rsidP="001B00DF">
      <w:pPr>
        <w:spacing w:after="0"/>
        <w:rPr>
          <w:lang w:val="en-GB"/>
        </w:rPr>
      </w:pPr>
      <w:r>
        <w:rPr>
          <w:noProof/>
          <w:lang w:eastAsia="zh-CN"/>
        </w:rPr>
        <w:drawing>
          <wp:inline distT="0" distB="0" distL="0" distR="0" wp14:anchorId="23A574B5" wp14:editId="1D7B0398">
            <wp:extent cx="5943600" cy="16668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666875"/>
                    </a:xfrm>
                    <a:prstGeom prst="rect">
                      <a:avLst/>
                    </a:prstGeom>
                    <a:noFill/>
                    <a:ln>
                      <a:noFill/>
                    </a:ln>
                  </pic:spPr>
                </pic:pic>
              </a:graphicData>
            </a:graphic>
          </wp:inline>
        </w:drawing>
      </w:r>
    </w:p>
    <w:p w14:paraId="1AF3B1A6" w14:textId="77777777" w:rsidR="001B00DF" w:rsidRDefault="001B00DF" w:rsidP="001B00DF">
      <w:pPr>
        <w:spacing w:after="0"/>
        <w:rPr>
          <w:b/>
          <w:lang w:val="en-GB"/>
        </w:rPr>
      </w:pPr>
      <w:r>
        <w:rPr>
          <w:b/>
          <w:lang w:val="en-GB"/>
        </w:rPr>
        <w:t xml:space="preserve">Architecture 1b: </w:t>
      </w:r>
    </w:p>
    <w:p w14:paraId="11F2FA02" w14:textId="77777777" w:rsidR="001B00DF" w:rsidRDefault="001B00DF" w:rsidP="001B00DF">
      <w:pPr>
        <w:numPr>
          <w:ilvl w:val="0"/>
          <w:numId w:val="43"/>
        </w:numPr>
        <w:overflowPunct/>
        <w:autoSpaceDE/>
        <w:autoSpaceDN/>
        <w:adjustRightInd/>
        <w:spacing w:after="0" w:line="256" w:lineRule="auto"/>
        <w:textAlignment w:val="auto"/>
        <w:rPr>
          <w:lang w:val="en-GB"/>
        </w:rPr>
      </w:pPr>
      <w:r>
        <w:rPr>
          <w:lang w:val="en-GB"/>
        </w:rPr>
        <w:t xml:space="preserve">Backhauling of F1-U on access node uses GTP-U/UDP/IP. </w:t>
      </w:r>
    </w:p>
    <w:p w14:paraId="316DD700" w14:textId="77777777" w:rsidR="001B00DF" w:rsidRDefault="001B00DF" w:rsidP="001B00DF">
      <w:pPr>
        <w:numPr>
          <w:ilvl w:val="0"/>
          <w:numId w:val="43"/>
        </w:numPr>
        <w:overflowPunct/>
        <w:autoSpaceDE/>
        <w:autoSpaceDN/>
        <w:adjustRightInd/>
        <w:spacing w:after="0" w:line="256" w:lineRule="auto"/>
        <w:textAlignment w:val="auto"/>
        <w:rPr>
          <w:lang w:val="en-GB"/>
        </w:rPr>
      </w:pPr>
      <w:r>
        <w:rPr>
          <w:lang w:val="en-GB"/>
        </w:rPr>
        <w:t>Hob-by-hop forwarding across intermediate node uses the adaptation layer.</w:t>
      </w:r>
    </w:p>
    <w:p w14:paraId="5DDDDE49" w14:textId="77777777" w:rsidR="001B00DF" w:rsidRPr="009A55F5" w:rsidRDefault="001B00DF" w:rsidP="001B00DF">
      <w:pPr>
        <w:spacing w:after="0"/>
        <w:ind w:left="-336"/>
        <w:rPr>
          <w:lang w:val="en-GB"/>
        </w:rPr>
      </w:pPr>
      <w:r>
        <w:rPr>
          <w:noProof/>
          <w:lang w:eastAsia="zh-CN"/>
        </w:rPr>
        <w:drawing>
          <wp:inline distT="0" distB="0" distL="0" distR="0" wp14:anchorId="1345AEC5" wp14:editId="734E7928">
            <wp:extent cx="5943600" cy="1609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609725"/>
                    </a:xfrm>
                    <a:prstGeom prst="rect">
                      <a:avLst/>
                    </a:prstGeom>
                    <a:noFill/>
                    <a:ln>
                      <a:noFill/>
                    </a:ln>
                  </pic:spPr>
                </pic:pic>
              </a:graphicData>
            </a:graphic>
          </wp:inline>
        </w:drawing>
      </w:r>
    </w:p>
    <w:p w14:paraId="17190CB0" w14:textId="77777777" w:rsidR="001C2188" w:rsidRDefault="001C2188" w:rsidP="00D11AD9">
      <w:pPr>
        <w:rPr>
          <w:lang w:val="en-GB"/>
        </w:rPr>
      </w:pPr>
    </w:p>
    <w:p w14:paraId="3910AB39" w14:textId="7B44C58B" w:rsidR="006F1AB8" w:rsidRDefault="00895E17" w:rsidP="00C26A7D">
      <w:pPr>
        <w:pStyle w:val="Heading1"/>
      </w:pPr>
      <w:r>
        <w:lastRenderedPageBreak/>
        <w:t>Backhauling of user and control planes</w:t>
      </w:r>
      <w:r w:rsidR="0044429E">
        <w:t xml:space="preserve"> for</w:t>
      </w:r>
      <w:r w:rsidR="00CE4C07">
        <w:t xml:space="preserve"> L2 r</w:t>
      </w:r>
      <w:r w:rsidR="00AC0C4D">
        <w:t>elaying</w:t>
      </w:r>
    </w:p>
    <w:p w14:paraId="2B6EFB5B" w14:textId="67B156CF" w:rsidR="00985DD0" w:rsidRDefault="00985DD0" w:rsidP="001F42C9">
      <w:pPr>
        <w:rPr>
          <w:lang w:val="en-GB"/>
        </w:rPr>
      </w:pPr>
      <w:r>
        <w:rPr>
          <w:lang w:val="en-GB"/>
        </w:rPr>
        <w:t>In [3], several d</w:t>
      </w:r>
      <w:r w:rsidR="00C34A84">
        <w:rPr>
          <w:lang w:val="en-GB"/>
        </w:rPr>
        <w:t xml:space="preserve">ifferent aspects </w:t>
      </w:r>
      <w:r>
        <w:rPr>
          <w:lang w:val="en-GB"/>
        </w:rPr>
        <w:t>regarding backhauling of F1-U and F1-C interface for IAB with L2 relaying</w:t>
      </w:r>
      <w:r w:rsidR="00C34A84">
        <w:rPr>
          <w:lang w:val="en-GB"/>
        </w:rPr>
        <w:t xml:space="preserve"> were discussed</w:t>
      </w:r>
      <w:r>
        <w:rPr>
          <w:lang w:val="en-GB"/>
        </w:rPr>
        <w:t xml:space="preserve">. Arguments were presented in favour of IAB architecture 1b, considering the need to provide full F1 interface and IP connectivity to IAB nodes for uniform access IAB and non-IAB nodes from the CU and any core network elements </w:t>
      </w:r>
      <w:r w:rsidR="00453791">
        <w:rPr>
          <w:lang w:val="en-GB"/>
        </w:rPr>
        <w:t>(e.g. OAM)</w:t>
      </w:r>
      <w:r w:rsidR="00C34A84">
        <w:rPr>
          <w:lang w:val="en-GB"/>
        </w:rPr>
        <w:t>, and to provide full compatibility</w:t>
      </w:r>
      <w:r w:rsidR="00B10D89">
        <w:rPr>
          <w:lang w:val="en-GB"/>
        </w:rPr>
        <w:t xml:space="preserve"> with F1 interface evolution</w:t>
      </w:r>
      <w:r w:rsidR="00453791">
        <w:rPr>
          <w:lang w:val="en-GB"/>
        </w:rPr>
        <w:t xml:space="preserve">. </w:t>
      </w:r>
      <w:r w:rsidR="0033138F">
        <w:rPr>
          <w:lang w:val="en-GB"/>
        </w:rPr>
        <w:t>In this contribution we further extend this discussion considering additional architecture options.</w:t>
      </w:r>
    </w:p>
    <w:p w14:paraId="4043A9CD" w14:textId="67531B2C" w:rsidR="0033138F" w:rsidRDefault="0033138F" w:rsidP="0033138F">
      <w:pPr>
        <w:pStyle w:val="Heading2"/>
      </w:pPr>
      <w:r>
        <w:t>User plane</w:t>
      </w:r>
    </w:p>
    <w:p w14:paraId="0C0CB5C4" w14:textId="06553980" w:rsidR="001F42C9" w:rsidRDefault="001B00DF" w:rsidP="001F42C9">
      <w:pPr>
        <w:rPr>
          <w:lang w:val="en-GB"/>
        </w:rPr>
      </w:pPr>
      <w:r>
        <w:rPr>
          <w:lang w:val="en-GB"/>
        </w:rPr>
        <w:t>For the user plane, t</w:t>
      </w:r>
      <w:r w:rsidR="001F42C9">
        <w:rPr>
          <w:lang w:val="en-GB"/>
        </w:rPr>
        <w:t xml:space="preserve">he </w:t>
      </w:r>
      <w:r>
        <w:rPr>
          <w:lang w:val="en-GB"/>
        </w:rPr>
        <w:t>main difference between architectures 1a and 1b is in how the F1-U interface is carried from the CU to the DU at the serving IAB node. In architecture 1b, the F1-U is explicitly tunnelled through the relay architecture to the DU at the serving IAB node to allow end-to-end bearer association between the DU at the serving IAB node and the CU. In architecture 1a, the F1-U is not explicitly tunnelled but the information required to provide end-to-end bearer association between the DU at the serving IAB node and the CU is incorporated into headers at the adaptation layer at the IAB nodes. There could be several variations of this architectu</w:t>
      </w:r>
      <w:r w:rsidR="00FA7A9C">
        <w:rPr>
          <w:lang w:val="en-GB"/>
        </w:rPr>
        <w:t xml:space="preserve">re. </w:t>
      </w:r>
    </w:p>
    <w:p w14:paraId="7ECFFE9C" w14:textId="72654132" w:rsidR="0033138F" w:rsidRDefault="0033138F" w:rsidP="001F42C9">
      <w:pPr>
        <w:rPr>
          <w:lang w:val="en-GB"/>
        </w:rPr>
      </w:pPr>
      <w:r>
        <w:rPr>
          <w:lang w:val="en-GB"/>
        </w:rPr>
        <w:t>For IAB architecture 1a, one proposal presented in [4] is particularly i</w:t>
      </w:r>
      <w:r w:rsidR="00C34A84">
        <w:rPr>
          <w:lang w:val="en-GB"/>
        </w:rPr>
        <w:t>nteresting. It proposes to encapsulate</w:t>
      </w:r>
      <w:r>
        <w:rPr>
          <w:lang w:val="en-GB"/>
        </w:rPr>
        <w:t xml:space="preserve"> the full F1-U header (GTP-U/UDP/IP) all the way to the serving IAB node. We see several advantages of this proposal compared to other proposals of architecture 1a. </w:t>
      </w:r>
      <w:r w:rsidR="00BE1F93">
        <w:rPr>
          <w:lang w:val="en-GB"/>
        </w:rPr>
        <w:t>T</w:t>
      </w:r>
      <w:r>
        <w:rPr>
          <w:lang w:val="en-GB"/>
        </w:rPr>
        <w:t xml:space="preserve">his proposal for architecture 1a </w:t>
      </w:r>
      <w:r w:rsidR="00BE1F93">
        <w:rPr>
          <w:lang w:val="en-GB"/>
        </w:rPr>
        <w:t xml:space="preserve">also </w:t>
      </w:r>
      <w:r>
        <w:rPr>
          <w:lang w:val="en-GB"/>
        </w:rPr>
        <w:t>offers many of the same benefits that are offered by architecture 1b. For example:</w:t>
      </w:r>
    </w:p>
    <w:p w14:paraId="05E0B6E8" w14:textId="1181B2F1" w:rsidR="0033138F" w:rsidRDefault="00C13795" w:rsidP="0033138F">
      <w:pPr>
        <w:pStyle w:val="ListParagraph"/>
        <w:numPr>
          <w:ilvl w:val="0"/>
          <w:numId w:val="45"/>
        </w:numPr>
        <w:rPr>
          <w:lang w:val="en-GB"/>
        </w:rPr>
      </w:pPr>
      <w:r>
        <w:rPr>
          <w:lang w:val="en-GB"/>
        </w:rPr>
        <w:t>Both a</w:t>
      </w:r>
      <w:r w:rsidR="0033138F">
        <w:rPr>
          <w:lang w:val="en-GB"/>
        </w:rPr>
        <w:t xml:space="preserve">rchitecture 1a with </w:t>
      </w:r>
      <w:r w:rsidR="00CD3730">
        <w:rPr>
          <w:lang w:val="en-GB"/>
        </w:rPr>
        <w:t>full F1 headers</w:t>
      </w:r>
      <w:r w:rsidR="0033138F">
        <w:rPr>
          <w:lang w:val="en-GB"/>
        </w:rPr>
        <w:t xml:space="preserve"> </w:t>
      </w:r>
      <w:r>
        <w:rPr>
          <w:lang w:val="en-GB"/>
        </w:rPr>
        <w:t>and architecture 1b allow</w:t>
      </w:r>
      <w:r w:rsidR="0033138F">
        <w:rPr>
          <w:lang w:val="en-GB"/>
        </w:rPr>
        <w:t xml:space="preserve"> full F1 interface termination at the serving IAB node, allowing the reuse of all F1 procedures and features already specified in Release 15. </w:t>
      </w:r>
    </w:p>
    <w:p w14:paraId="05232250" w14:textId="77A23B07" w:rsidR="00AA579A" w:rsidRDefault="00C34A84" w:rsidP="0033138F">
      <w:pPr>
        <w:pStyle w:val="ListParagraph"/>
        <w:numPr>
          <w:ilvl w:val="0"/>
          <w:numId w:val="45"/>
        </w:numPr>
        <w:rPr>
          <w:lang w:val="en-GB"/>
        </w:rPr>
      </w:pPr>
      <w:r>
        <w:rPr>
          <w:lang w:val="en-GB"/>
        </w:rPr>
        <w:t>Consequently</w:t>
      </w:r>
      <w:r w:rsidR="00AA579A">
        <w:rPr>
          <w:lang w:val="en-GB"/>
        </w:rPr>
        <w:t xml:space="preserve">, both architecture 1a with </w:t>
      </w:r>
      <w:r w:rsidR="00CD3730">
        <w:rPr>
          <w:lang w:val="en-GB"/>
        </w:rPr>
        <w:t>full F1 headers</w:t>
      </w:r>
      <w:r w:rsidR="00AA579A">
        <w:rPr>
          <w:lang w:val="en-GB"/>
        </w:rPr>
        <w:t xml:space="preserve"> and architecture 1b are fully compatible with future evolution of F1 interface specifications, making it possible to have consistent CU behaviour across</w:t>
      </w:r>
      <w:r>
        <w:rPr>
          <w:lang w:val="en-GB"/>
        </w:rPr>
        <w:t xml:space="preserve"> all</w:t>
      </w:r>
      <w:r w:rsidR="00AA579A">
        <w:rPr>
          <w:lang w:val="en-GB"/>
        </w:rPr>
        <w:t xml:space="preserve"> IAB and non-IAB nodes.</w:t>
      </w:r>
    </w:p>
    <w:p w14:paraId="6372F789" w14:textId="7BD2CFD2" w:rsidR="0033138F" w:rsidRDefault="00C13795" w:rsidP="0033138F">
      <w:pPr>
        <w:pStyle w:val="ListParagraph"/>
        <w:numPr>
          <w:ilvl w:val="0"/>
          <w:numId w:val="45"/>
        </w:numPr>
        <w:rPr>
          <w:lang w:val="en-GB"/>
        </w:rPr>
      </w:pPr>
      <w:r>
        <w:rPr>
          <w:lang w:val="en-GB"/>
        </w:rPr>
        <w:t>Both a</w:t>
      </w:r>
      <w:r w:rsidR="0033138F">
        <w:rPr>
          <w:lang w:val="en-GB"/>
        </w:rPr>
        <w:t xml:space="preserve">rchitecture 1a with </w:t>
      </w:r>
      <w:r w:rsidR="00CD3730">
        <w:rPr>
          <w:lang w:val="en-GB"/>
        </w:rPr>
        <w:t>full F1 headers</w:t>
      </w:r>
      <w:r>
        <w:rPr>
          <w:lang w:val="en-GB"/>
        </w:rPr>
        <w:t xml:space="preserve"> and architecture 1b</w:t>
      </w:r>
      <w:r w:rsidR="0033138F">
        <w:rPr>
          <w:lang w:val="en-GB"/>
        </w:rPr>
        <w:t xml:space="preserve"> enable full IP connectivity to the serving IAB node, allowing the serving IAB node to be acc</w:t>
      </w:r>
      <w:r w:rsidR="00452CC2">
        <w:rPr>
          <w:lang w:val="en-GB"/>
        </w:rPr>
        <w:t>essed for OAM purposes.</w:t>
      </w:r>
      <w:r w:rsidR="0033138F">
        <w:rPr>
          <w:lang w:val="en-GB"/>
        </w:rPr>
        <w:t xml:space="preserve"> </w:t>
      </w:r>
    </w:p>
    <w:p w14:paraId="1C0BE337" w14:textId="7D38AA25" w:rsidR="00BE1F93" w:rsidRDefault="00BE1F93" w:rsidP="0033138F">
      <w:pPr>
        <w:pStyle w:val="ListParagraph"/>
        <w:numPr>
          <w:ilvl w:val="0"/>
          <w:numId w:val="45"/>
        </w:numPr>
        <w:rPr>
          <w:lang w:val="en-GB"/>
        </w:rPr>
      </w:pPr>
      <w:r>
        <w:rPr>
          <w:lang w:val="en-GB"/>
        </w:rPr>
        <w:t>Due to the</w:t>
      </w:r>
      <w:r w:rsidR="00C34A84">
        <w:rPr>
          <w:lang w:val="en-GB"/>
        </w:rPr>
        <w:t xml:space="preserve"> above points, </w:t>
      </w:r>
      <w:r w:rsidR="00C13795">
        <w:rPr>
          <w:lang w:val="en-GB"/>
        </w:rPr>
        <w:t xml:space="preserve">both architecture 1a with </w:t>
      </w:r>
      <w:r w:rsidR="00CD3730">
        <w:rPr>
          <w:lang w:val="en-GB"/>
        </w:rPr>
        <w:t>full F1 headers</w:t>
      </w:r>
      <w:r w:rsidR="00C13795">
        <w:rPr>
          <w:lang w:val="en-GB"/>
        </w:rPr>
        <w:t xml:space="preserve"> and architecture 1b make it easier to convert an IAB node to an IAB donor</w:t>
      </w:r>
      <w:r w:rsidR="00C34A84">
        <w:rPr>
          <w:lang w:val="en-GB"/>
        </w:rPr>
        <w:t xml:space="preserve"> node upon availability of fibre</w:t>
      </w:r>
      <w:r w:rsidR="00C13795">
        <w:rPr>
          <w:lang w:val="en-GB"/>
        </w:rPr>
        <w:t xml:space="preserve"> connectivity </w:t>
      </w:r>
      <w:proofErr w:type="gramStart"/>
      <w:r w:rsidR="00C13795">
        <w:rPr>
          <w:lang w:val="en-GB"/>
        </w:rPr>
        <w:t>at a later date</w:t>
      </w:r>
      <w:proofErr w:type="gramEnd"/>
      <w:r w:rsidR="00C13795">
        <w:rPr>
          <w:lang w:val="en-GB"/>
        </w:rPr>
        <w:t xml:space="preserve"> after initial deployment. </w:t>
      </w:r>
    </w:p>
    <w:p w14:paraId="2A17B71C" w14:textId="40409641" w:rsidR="00452CC2" w:rsidRDefault="00C13795" w:rsidP="0033138F">
      <w:pPr>
        <w:pStyle w:val="ListParagraph"/>
        <w:numPr>
          <w:ilvl w:val="0"/>
          <w:numId w:val="45"/>
        </w:numPr>
        <w:rPr>
          <w:lang w:val="en-GB"/>
        </w:rPr>
      </w:pPr>
      <w:r>
        <w:rPr>
          <w:lang w:val="en-GB"/>
        </w:rPr>
        <w:t>Both a</w:t>
      </w:r>
      <w:r w:rsidR="00452CC2">
        <w:rPr>
          <w:lang w:val="en-GB"/>
        </w:rPr>
        <w:t xml:space="preserve">rchitecture 1a with </w:t>
      </w:r>
      <w:r w:rsidR="00CD3730">
        <w:rPr>
          <w:lang w:val="en-GB"/>
        </w:rPr>
        <w:t>full F1 headers</w:t>
      </w:r>
      <w:r w:rsidR="00452CC2">
        <w:rPr>
          <w:lang w:val="en-GB"/>
        </w:rPr>
        <w:t xml:space="preserve"> </w:t>
      </w:r>
      <w:r>
        <w:rPr>
          <w:lang w:val="en-GB"/>
        </w:rPr>
        <w:t>and architecture 1b simplify</w:t>
      </w:r>
      <w:r w:rsidR="00452CC2">
        <w:rPr>
          <w:lang w:val="en-GB"/>
        </w:rPr>
        <w:t xml:space="preserve"> the adaptation layer functionality, leaving mainly the routing and </w:t>
      </w:r>
      <w:r w:rsidR="00B218F0">
        <w:rPr>
          <w:lang w:val="en-GB"/>
        </w:rPr>
        <w:t>bearer aggregation functions</w:t>
      </w:r>
      <w:r w:rsidR="00452CC2">
        <w:rPr>
          <w:lang w:val="en-GB"/>
        </w:rPr>
        <w:t xml:space="preserve"> to be performed at the adaptation layer. This may simplify specification of the adaptation layer </w:t>
      </w:r>
      <w:r w:rsidR="000219F8">
        <w:rPr>
          <w:lang w:val="en-GB"/>
        </w:rPr>
        <w:t>compared to other a</w:t>
      </w:r>
      <w:r w:rsidR="00452CC2">
        <w:rPr>
          <w:lang w:val="en-GB"/>
        </w:rPr>
        <w:t>rchitecture 1a variations that propose to incorporate more functionality into the adaptation layer. This simplification may lead to more stable initial specification of IAB functionality in Release 16.</w:t>
      </w:r>
    </w:p>
    <w:p w14:paraId="7E0807F4" w14:textId="7E0BC747" w:rsidR="00452CC2" w:rsidRDefault="00C13795" w:rsidP="0033138F">
      <w:pPr>
        <w:pStyle w:val="ListParagraph"/>
        <w:numPr>
          <w:ilvl w:val="0"/>
          <w:numId w:val="45"/>
        </w:numPr>
        <w:rPr>
          <w:lang w:val="en-GB"/>
        </w:rPr>
      </w:pPr>
      <w:r>
        <w:rPr>
          <w:lang w:val="en-GB"/>
        </w:rPr>
        <w:t>Both a</w:t>
      </w:r>
      <w:r w:rsidR="00452CC2">
        <w:rPr>
          <w:lang w:val="en-GB"/>
        </w:rPr>
        <w:t xml:space="preserve">rchitecture 1a with </w:t>
      </w:r>
      <w:r w:rsidR="00CD3730">
        <w:rPr>
          <w:lang w:val="en-GB"/>
        </w:rPr>
        <w:t>full F1 headers</w:t>
      </w:r>
      <w:r w:rsidR="00452CC2">
        <w:rPr>
          <w:lang w:val="en-GB"/>
        </w:rPr>
        <w:t xml:space="preserve"> </w:t>
      </w:r>
      <w:r>
        <w:rPr>
          <w:lang w:val="en-GB"/>
        </w:rPr>
        <w:t xml:space="preserve">and architecture 1b </w:t>
      </w:r>
      <w:r w:rsidR="007970B4">
        <w:rPr>
          <w:lang w:val="en-GB"/>
        </w:rPr>
        <w:t xml:space="preserve">may have </w:t>
      </w:r>
      <w:r>
        <w:rPr>
          <w:lang w:val="en-GB"/>
        </w:rPr>
        <w:t>similar</w:t>
      </w:r>
      <w:r w:rsidR="00452CC2">
        <w:rPr>
          <w:lang w:val="en-GB"/>
        </w:rPr>
        <w:t xml:space="preserve"> protocol overhead. Even though this protocol overhead may be slightly greater than that of other architecture 1a variation</w:t>
      </w:r>
      <w:r>
        <w:rPr>
          <w:lang w:val="en-GB"/>
        </w:rPr>
        <w:t>s</w:t>
      </w:r>
      <w:r w:rsidR="00452CC2">
        <w:rPr>
          <w:lang w:val="en-GB"/>
        </w:rPr>
        <w:t>, we believe that the simplification in standardization, especially for the initial release of IAB specifications, may be well worth it. Future IAB specification enhancements can target overhead efficiency reduction</w:t>
      </w:r>
      <w:r w:rsidR="004A3349">
        <w:rPr>
          <w:lang w:val="en-GB"/>
        </w:rPr>
        <w:t>, if deemed necessary</w:t>
      </w:r>
      <w:r w:rsidR="00452CC2">
        <w:rPr>
          <w:lang w:val="en-GB"/>
        </w:rPr>
        <w:t>.</w:t>
      </w:r>
    </w:p>
    <w:p w14:paraId="0E205260" w14:textId="00732608" w:rsidR="00292567" w:rsidRDefault="00292567" w:rsidP="00292567">
      <w:pPr>
        <w:rPr>
          <w:lang w:val="en-GB"/>
        </w:rPr>
      </w:pPr>
    </w:p>
    <w:p w14:paraId="5C86A099" w14:textId="07AFFFDE" w:rsidR="00BE1F93" w:rsidRPr="00C13795" w:rsidRDefault="00BE1F93" w:rsidP="00292567">
      <w:pPr>
        <w:rPr>
          <w:b/>
          <w:lang w:val="en-GB"/>
        </w:rPr>
      </w:pPr>
      <w:r w:rsidRPr="00C13795">
        <w:rPr>
          <w:b/>
          <w:lang w:val="en-GB"/>
        </w:rPr>
        <w:t xml:space="preserve">Observation 1: Architecture 1a with </w:t>
      </w:r>
      <w:r w:rsidR="00CD3730">
        <w:rPr>
          <w:b/>
          <w:lang w:val="en-GB"/>
        </w:rPr>
        <w:t>full headers</w:t>
      </w:r>
      <w:r w:rsidRPr="00C13795">
        <w:rPr>
          <w:b/>
          <w:lang w:val="en-GB"/>
        </w:rPr>
        <w:t xml:space="preserve"> may offer some of the same benefits a</w:t>
      </w:r>
      <w:r w:rsidR="00C13795" w:rsidRPr="00C13795">
        <w:rPr>
          <w:b/>
          <w:lang w:val="en-GB"/>
        </w:rPr>
        <w:t>s architecture 1b, and is an attractive alternative for initial specification of IAB functionality.</w:t>
      </w:r>
    </w:p>
    <w:p w14:paraId="75C895FE" w14:textId="1CE01611" w:rsidR="004A3349" w:rsidRDefault="00BE1F93" w:rsidP="00292567">
      <w:pPr>
        <w:rPr>
          <w:lang w:val="en-GB"/>
        </w:rPr>
      </w:pPr>
      <w:r>
        <w:rPr>
          <w:lang w:val="en-GB"/>
        </w:rPr>
        <w:t xml:space="preserve">Additionally, architecture 1a with </w:t>
      </w:r>
      <w:r w:rsidR="00CD3730">
        <w:rPr>
          <w:lang w:val="en-GB"/>
        </w:rPr>
        <w:t>full F1 headers</w:t>
      </w:r>
      <w:r>
        <w:rPr>
          <w:lang w:val="en-GB"/>
        </w:rPr>
        <w:t xml:space="preserve"> may offer one advantage over architecture 1b, in that it does not require a UPF at the CU. This simplifies the CU compared to architecture 1b, and is also beneficial for </w:t>
      </w:r>
      <w:r>
        <w:rPr>
          <w:lang w:val="en-GB"/>
        </w:rPr>
        <w:lastRenderedPageBreak/>
        <w:t>deployment of IAB in an NSA network, where the IAB nodes may have to work with an existing EPC-based core network.</w:t>
      </w:r>
    </w:p>
    <w:p w14:paraId="3EC1023D" w14:textId="6852C538" w:rsidR="00C13795" w:rsidRPr="00C13795" w:rsidRDefault="00C13795" w:rsidP="00292567">
      <w:pPr>
        <w:rPr>
          <w:b/>
          <w:lang w:val="en-GB"/>
        </w:rPr>
      </w:pPr>
      <w:r w:rsidRPr="00C13795">
        <w:rPr>
          <w:b/>
          <w:lang w:val="en-GB"/>
        </w:rPr>
        <w:t xml:space="preserve">Observation 2: Architecture 1a with </w:t>
      </w:r>
      <w:r w:rsidR="00CD3730">
        <w:rPr>
          <w:b/>
          <w:lang w:val="en-GB"/>
        </w:rPr>
        <w:t>full F1 headers</w:t>
      </w:r>
      <w:r w:rsidRPr="00C13795">
        <w:rPr>
          <w:b/>
          <w:lang w:val="en-GB"/>
        </w:rPr>
        <w:t xml:space="preserve"> simplifies the CU compared to architecture 1b</w:t>
      </w:r>
    </w:p>
    <w:p w14:paraId="1330FFEA" w14:textId="081DD45F" w:rsidR="00C13795" w:rsidRDefault="00050701" w:rsidP="001F42C9">
      <w:pPr>
        <w:rPr>
          <w:lang w:val="en-GB"/>
        </w:rPr>
      </w:pPr>
      <w:r>
        <w:rPr>
          <w:lang w:val="en-GB"/>
        </w:rPr>
        <w:t>Due to observations 1 and 2 we believe that there is significant merit in capturing the proposed architecture 1a with full headers explicitly in TR 38.874 as proposed in [5].</w:t>
      </w:r>
    </w:p>
    <w:p w14:paraId="7B68F9D4" w14:textId="2505A02C" w:rsidR="00050701" w:rsidRDefault="00050701" w:rsidP="001F42C9">
      <w:pPr>
        <w:rPr>
          <w:b/>
          <w:lang w:val="en-GB"/>
        </w:rPr>
      </w:pPr>
      <w:r w:rsidRPr="00050701">
        <w:rPr>
          <w:b/>
          <w:lang w:val="en-GB"/>
        </w:rPr>
        <w:t>Proposal 1: Architecture 1a with full heade</w:t>
      </w:r>
      <w:r w:rsidR="00174F07">
        <w:rPr>
          <w:b/>
          <w:lang w:val="en-GB"/>
        </w:rPr>
        <w:t>rs should be explicitly captured</w:t>
      </w:r>
      <w:r w:rsidRPr="00050701">
        <w:rPr>
          <w:b/>
          <w:lang w:val="en-GB"/>
        </w:rPr>
        <w:t xml:space="preserve"> in TR 38.</w:t>
      </w:r>
      <w:r w:rsidR="00D743DE">
        <w:rPr>
          <w:b/>
          <w:lang w:val="en-GB"/>
        </w:rPr>
        <w:t xml:space="preserve">874 per the text proposal in </w:t>
      </w:r>
      <w:r w:rsidR="005F5BCF" w:rsidRPr="005F5BCF">
        <w:rPr>
          <w:b/>
          <w:lang w:val="en-GB"/>
        </w:rPr>
        <w:t>R3-183056</w:t>
      </w:r>
      <w:r w:rsidRPr="00050701">
        <w:rPr>
          <w:b/>
          <w:lang w:val="en-GB"/>
        </w:rPr>
        <w:t>.</w:t>
      </w:r>
    </w:p>
    <w:p w14:paraId="1BE76928" w14:textId="77777777" w:rsidR="00DF443F" w:rsidRPr="00050701" w:rsidRDefault="00DF443F" w:rsidP="001F42C9">
      <w:pPr>
        <w:rPr>
          <w:b/>
          <w:lang w:val="en-GB"/>
        </w:rPr>
      </w:pPr>
    </w:p>
    <w:p w14:paraId="74BB854C" w14:textId="24139BB6" w:rsidR="00AE4BC3" w:rsidRDefault="00AE4BC3" w:rsidP="00AE4BC3">
      <w:pPr>
        <w:pStyle w:val="Heading2"/>
      </w:pPr>
      <w:r>
        <w:t>Control plane</w:t>
      </w:r>
    </w:p>
    <w:p w14:paraId="6634C996" w14:textId="2A7D30E7" w:rsidR="00B63E81" w:rsidRDefault="00A60B9D" w:rsidP="00455F71">
      <w:r>
        <w:t xml:space="preserve">For architecture 1a, </w:t>
      </w:r>
      <w:r w:rsidR="00ED4D39">
        <w:t>several</w:t>
      </w:r>
      <w:r w:rsidR="00B63E81">
        <w:t xml:space="preserve"> different solutions are possible for backhauling of control plane</w:t>
      </w:r>
      <w:r w:rsidR="006065B8">
        <w:t xml:space="preserve"> as listed below</w:t>
      </w:r>
      <w:r w:rsidR="00B63E81">
        <w:t>:</w:t>
      </w:r>
    </w:p>
    <w:p w14:paraId="3CC1CB7A" w14:textId="3B2EECA6" w:rsidR="00B63E81" w:rsidRDefault="00B63E81" w:rsidP="00B63E81">
      <w:pPr>
        <w:pStyle w:val="ListParagraph"/>
        <w:numPr>
          <w:ilvl w:val="0"/>
          <w:numId w:val="46"/>
        </w:numPr>
      </w:pPr>
      <w:r>
        <w:t>F1-AP over RRC for an existing SRB of the MT at the UE’s serving IAB node</w:t>
      </w:r>
    </w:p>
    <w:p w14:paraId="123971F3" w14:textId="41AFF5D0" w:rsidR="00B63E81" w:rsidRDefault="00B63E81" w:rsidP="00B63E81">
      <w:pPr>
        <w:pStyle w:val="ListParagraph"/>
        <w:numPr>
          <w:ilvl w:val="0"/>
          <w:numId w:val="46"/>
        </w:numPr>
      </w:pPr>
      <w:r>
        <w:t xml:space="preserve">F1-AP </w:t>
      </w:r>
      <w:r w:rsidR="004830B1">
        <w:t>via new SRB of the MT at the UE’s serving IAB node</w:t>
      </w:r>
    </w:p>
    <w:p w14:paraId="1676171D" w14:textId="2312E29F" w:rsidR="004830B1" w:rsidRDefault="004830B1" w:rsidP="00B63E81">
      <w:pPr>
        <w:pStyle w:val="ListParagraph"/>
        <w:numPr>
          <w:ilvl w:val="0"/>
          <w:numId w:val="46"/>
        </w:numPr>
      </w:pPr>
      <w:r>
        <w:t>F1-AP over DRB via E1-AP interface between CU-CP and CU-UP</w:t>
      </w:r>
    </w:p>
    <w:p w14:paraId="7DB46009" w14:textId="5FEF4226" w:rsidR="004830B1" w:rsidRDefault="004830B1" w:rsidP="004830B1">
      <w:pPr>
        <w:pStyle w:val="ListParagraph"/>
        <w:numPr>
          <w:ilvl w:val="0"/>
          <w:numId w:val="46"/>
        </w:numPr>
      </w:pPr>
      <w:r>
        <w:t>F1-AP</w:t>
      </w:r>
      <w:r w:rsidR="006065B8">
        <w:t>/SCTP/IP headers</w:t>
      </w:r>
      <w:r>
        <w:t xml:space="preserve"> encapsulated in the adaptation layer as proposed in [4]</w:t>
      </w:r>
    </w:p>
    <w:p w14:paraId="45F7414C" w14:textId="3BD2BC87" w:rsidR="004830B1" w:rsidRDefault="004830B1" w:rsidP="006065B8">
      <w:pPr>
        <w:spacing w:before="240"/>
      </w:pPr>
      <w:r>
        <w:t>F</w:t>
      </w:r>
      <w:r w:rsidR="00DB1EF0">
        <w:t>or architecture 1b, there is generally</w:t>
      </w:r>
      <w:r>
        <w:t xml:space="preserve"> one</w:t>
      </w:r>
      <w:r w:rsidR="006065B8">
        <w:t xml:space="preserve"> main</w:t>
      </w:r>
      <w:r>
        <w:t xml:space="preserve"> solution</w:t>
      </w:r>
      <w:r w:rsidR="00DB1EF0">
        <w:t xml:space="preserve"> as follows</w:t>
      </w:r>
      <w:r>
        <w:t>:</w:t>
      </w:r>
    </w:p>
    <w:p w14:paraId="19B93797" w14:textId="5A7FAAE1" w:rsidR="004830B1" w:rsidRDefault="006065B8" w:rsidP="004830B1">
      <w:pPr>
        <w:pStyle w:val="ListParagraph"/>
        <w:numPr>
          <w:ilvl w:val="0"/>
          <w:numId w:val="47"/>
        </w:numPr>
      </w:pPr>
      <w:r>
        <w:t>F1-AP/SCTP/IP tunneled through a PDU session between serving IAB node</w:t>
      </w:r>
      <w:r w:rsidR="007F36CD">
        <w:t xml:space="preserve"> and UPF at IAB donor with</w:t>
      </w:r>
      <w:r>
        <w:t xml:space="preserve"> connectivity between CU-CP and UPF. </w:t>
      </w:r>
    </w:p>
    <w:p w14:paraId="02ABC6E7" w14:textId="77777777" w:rsidR="006065B8" w:rsidRDefault="006065B8" w:rsidP="006065B8">
      <w:pPr>
        <w:pStyle w:val="ListParagraph"/>
      </w:pPr>
    </w:p>
    <w:p w14:paraId="40E210C9" w14:textId="2C1F2243" w:rsidR="006065B8" w:rsidRDefault="00DB1EF0" w:rsidP="00455F71">
      <w:r>
        <w:t xml:space="preserve">Referring to the discussion on user plane in previous section, for architecture 1a, the solution from [4] proposes to encapsulate the full F1-AP headers at the adaptation layer. For the user plane, encapsulating the </w:t>
      </w:r>
      <w:r w:rsidR="00D52144">
        <w:t xml:space="preserve">full </w:t>
      </w:r>
      <w:r>
        <w:t xml:space="preserve">F1-U headers </w:t>
      </w:r>
      <w:r w:rsidR="00D52144">
        <w:t xml:space="preserve">at the adaptation layer </w:t>
      </w:r>
      <w:r>
        <w:t xml:space="preserve">did not present a security risk because the user plane data is already protected via encryption at the PDCP. However, for the control plane, encapsulating the full F1-AP headers in the adaptation layer poses a security risk because they are not protected by any form of encryption </w:t>
      </w:r>
      <w:r w:rsidR="00D52144">
        <w:t>due to lack of a PDCP layer</w:t>
      </w:r>
      <w:r>
        <w:t xml:space="preserve">. A couple of solutions proposed in [4] to mitigate such security concerns are the use of IPsec or TLS. </w:t>
      </w:r>
      <w:r w:rsidR="00320FBE">
        <w:t xml:space="preserve">While these may well be feasible solutions, </w:t>
      </w:r>
      <w:r w:rsidR="006D41F1">
        <w:t>further deta</w:t>
      </w:r>
      <w:r w:rsidR="00320FBE">
        <w:t xml:space="preserve">ils </w:t>
      </w:r>
      <w:r w:rsidR="006D41F1">
        <w:t xml:space="preserve">need to be investigated. </w:t>
      </w:r>
    </w:p>
    <w:p w14:paraId="62058AB2" w14:textId="253A464E" w:rsidR="006065B8" w:rsidRPr="000E01FD" w:rsidRDefault="00DB1EF0" w:rsidP="00455F71">
      <w:pPr>
        <w:rPr>
          <w:b/>
        </w:rPr>
      </w:pPr>
      <w:bookmarkStart w:id="4" w:name="_Hlk513759739"/>
      <w:r w:rsidRPr="000E01FD">
        <w:rPr>
          <w:b/>
        </w:rPr>
        <w:t xml:space="preserve">Observation 3: </w:t>
      </w:r>
      <w:r w:rsidR="000E01FD" w:rsidRPr="000E01FD">
        <w:rPr>
          <w:b/>
        </w:rPr>
        <w:t>A few</w:t>
      </w:r>
      <w:r w:rsidRPr="000E01FD">
        <w:rPr>
          <w:b/>
        </w:rPr>
        <w:t xml:space="preserve"> different solutions are possible for backhauling of F1-AP transport for architecture 1a.</w:t>
      </w:r>
      <w:r w:rsidR="000E01FD" w:rsidRPr="000E01FD">
        <w:rPr>
          <w:b/>
        </w:rPr>
        <w:t xml:space="preserve"> For the architecture 1a solution with fu</w:t>
      </w:r>
      <w:r w:rsidR="0085274A">
        <w:rPr>
          <w:b/>
        </w:rPr>
        <w:t>ll F1-AP headers encapsulated at</w:t>
      </w:r>
      <w:r w:rsidR="000E01FD" w:rsidRPr="000E01FD">
        <w:rPr>
          <w:b/>
        </w:rPr>
        <w:t xml:space="preserve"> the adaptation layer, further details of a security solution may need to be investigated. </w:t>
      </w:r>
    </w:p>
    <w:bookmarkEnd w:id="4"/>
    <w:p w14:paraId="434A096C" w14:textId="4038AD64" w:rsidR="000E01FD" w:rsidRPr="000E01FD" w:rsidRDefault="000E01FD" w:rsidP="00455F71">
      <w:pPr>
        <w:rPr>
          <w:b/>
        </w:rPr>
      </w:pPr>
      <w:r w:rsidRPr="000E01FD">
        <w:rPr>
          <w:b/>
        </w:rPr>
        <w:t>Proposal 2: Fo</w:t>
      </w:r>
      <w:r w:rsidR="00B748B3">
        <w:rPr>
          <w:b/>
        </w:rPr>
        <w:t>r backhauling of F1-AP</w:t>
      </w:r>
      <w:r w:rsidRPr="000E01FD">
        <w:rPr>
          <w:b/>
        </w:rPr>
        <w:t xml:space="preserve"> over</w:t>
      </w:r>
      <w:r w:rsidR="006D41F1">
        <w:rPr>
          <w:b/>
        </w:rPr>
        <w:t xml:space="preserve"> IAB, additional discussions should be conducted to finalize solutions</w:t>
      </w:r>
      <w:r w:rsidRPr="000E01FD">
        <w:rPr>
          <w:b/>
        </w:rPr>
        <w:t xml:space="preserve"> for architecture 1a. </w:t>
      </w:r>
    </w:p>
    <w:p w14:paraId="6879EC81" w14:textId="707B49BF" w:rsidR="002D52C3" w:rsidRDefault="002D52C3" w:rsidP="000C5F30">
      <w:pPr>
        <w:rPr>
          <w:b/>
          <w:lang w:val="en-GB"/>
        </w:rPr>
      </w:pPr>
    </w:p>
    <w:p w14:paraId="70C82586" w14:textId="6A5BE23B" w:rsidR="008D04DC" w:rsidRDefault="007C3145" w:rsidP="008D04DC">
      <w:pPr>
        <w:pStyle w:val="Heading1"/>
      </w:pPr>
      <w:r>
        <w:t>Conclusion</w:t>
      </w:r>
    </w:p>
    <w:p w14:paraId="5D3F33F4" w14:textId="61172277" w:rsidR="00F35C83" w:rsidRDefault="00A7768F" w:rsidP="00F35C83">
      <w:pPr>
        <w:rPr>
          <w:b/>
          <w:lang w:val="en-GB"/>
        </w:rPr>
      </w:pPr>
      <w:r>
        <w:rPr>
          <w:lang w:val="en-GB"/>
        </w:rPr>
        <w:t xml:space="preserve">In this </w:t>
      </w:r>
      <w:r w:rsidR="00D43FA6">
        <w:rPr>
          <w:lang w:val="en-GB"/>
        </w:rPr>
        <w:t>contribution,</w:t>
      </w:r>
      <w:r w:rsidR="00F91EE0">
        <w:rPr>
          <w:lang w:val="en-GB"/>
        </w:rPr>
        <w:t xml:space="preserve"> </w:t>
      </w:r>
      <w:r w:rsidR="00A63066">
        <w:rPr>
          <w:lang w:val="en-GB"/>
        </w:rPr>
        <w:t>so</w:t>
      </w:r>
      <w:r w:rsidR="00EC1272">
        <w:rPr>
          <w:lang w:val="en-GB"/>
        </w:rPr>
        <w:t xml:space="preserve">me </w:t>
      </w:r>
      <w:r w:rsidR="00EE1973">
        <w:rPr>
          <w:lang w:val="en-GB"/>
        </w:rPr>
        <w:t xml:space="preserve">architecture </w:t>
      </w:r>
      <w:r w:rsidR="00EC1272">
        <w:rPr>
          <w:lang w:val="en-GB"/>
        </w:rPr>
        <w:t>considerations were presented for IAB with L2 relaying</w:t>
      </w:r>
      <w:r w:rsidR="004373B3">
        <w:rPr>
          <w:lang w:val="en-GB"/>
        </w:rPr>
        <w:t>.</w:t>
      </w:r>
      <w:r w:rsidR="00EC1272">
        <w:rPr>
          <w:lang w:val="en-GB"/>
        </w:rPr>
        <w:t xml:space="preserve"> The following observations and </w:t>
      </w:r>
      <w:r w:rsidR="0055311C">
        <w:rPr>
          <w:lang w:val="en-GB"/>
        </w:rPr>
        <w:t>proposal</w:t>
      </w:r>
      <w:r w:rsidR="004373B3">
        <w:rPr>
          <w:lang w:val="en-GB"/>
        </w:rPr>
        <w:t>s</w:t>
      </w:r>
      <w:r w:rsidR="00F91EE0">
        <w:rPr>
          <w:lang w:val="en-GB"/>
        </w:rPr>
        <w:t xml:space="preserve"> we</w:t>
      </w:r>
      <w:r w:rsidR="00EE1973">
        <w:rPr>
          <w:lang w:val="en-GB"/>
        </w:rPr>
        <w:t>re offered</w:t>
      </w:r>
      <w:r w:rsidR="00EF3B5D">
        <w:rPr>
          <w:lang w:val="en-GB"/>
        </w:rPr>
        <w:t>:</w:t>
      </w:r>
    </w:p>
    <w:p w14:paraId="36C6801E" w14:textId="6006A4C7" w:rsidR="001B4F33" w:rsidRPr="00C13795" w:rsidRDefault="001B4F33" w:rsidP="001B4F33">
      <w:pPr>
        <w:rPr>
          <w:b/>
          <w:lang w:val="en-GB"/>
        </w:rPr>
      </w:pPr>
      <w:r w:rsidRPr="00C13795">
        <w:rPr>
          <w:b/>
          <w:lang w:val="en-GB"/>
        </w:rPr>
        <w:t xml:space="preserve">Observation 1: Architecture 1a with </w:t>
      </w:r>
      <w:r w:rsidR="00CD3730">
        <w:rPr>
          <w:b/>
          <w:lang w:val="en-GB"/>
        </w:rPr>
        <w:t>full headers</w:t>
      </w:r>
      <w:r w:rsidRPr="00C13795">
        <w:rPr>
          <w:b/>
          <w:lang w:val="en-GB"/>
        </w:rPr>
        <w:t xml:space="preserve"> may offer some of the same benefits as architecture 1b, and is an attractive alternative for initial specification of IAB functionality.</w:t>
      </w:r>
    </w:p>
    <w:p w14:paraId="5552334B" w14:textId="1F096478" w:rsidR="001B4F33" w:rsidRPr="00C13795" w:rsidRDefault="001B4F33" w:rsidP="001B4F33">
      <w:pPr>
        <w:rPr>
          <w:b/>
          <w:lang w:val="en-GB"/>
        </w:rPr>
      </w:pPr>
      <w:r w:rsidRPr="00C13795">
        <w:rPr>
          <w:b/>
          <w:lang w:val="en-GB"/>
        </w:rPr>
        <w:t xml:space="preserve">Observation 2: Architecture 1a with </w:t>
      </w:r>
      <w:r w:rsidR="00CD3730">
        <w:rPr>
          <w:b/>
          <w:lang w:val="en-GB"/>
        </w:rPr>
        <w:t>full F1 headers</w:t>
      </w:r>
      <w:r w:rsidRPr="00C13795">
        <w:rPr>
          <w:b/>
          <w:lang w:val="en-GB"/>
        </w:rPr>
        <w:t xml:space="preserve"> simplifies the CU compared to architecture 1b</w:t>
      </w:r>
    </w:p>
    <w:p w14:paraId="47A8CD8E" w14:textId="77777777" w:rsidR="000E01FD" w:rsidRPr="000E01FD" w:rsidRDefault="000E01FD" w:rsidP="000E01FD">
      <w:pPr>
        <w:rPr>
          <w:b/>
        </w:rPr>
      </w:pPr>
      <w:r w:rsidRPr="000E01FD">
        <w:rPr>
          <w:b/>
        </w:rPr>
        <w:lastRenderedPageBreak/>
        <w:t xml:space="preserve">Observation 3: A few different solutions are possible for backhauling of F1-AP transport for architecture 1a. For the architecture 1a solution with full F1-AP headers encapsulated in the adaptation layer, further details of a security solution may need to be investigated. </w:t>
      </w:r>
    </w:p>
    <w:p w14:paraId="1D727CDE" w14:textId="2AF7B33D" w:rsidR="001B4F33" w:rsidRPr="00050701" w:rsidRDefault="001B4F33" w:rsidP="001B4F33">
      <w:pPr>
        <w:rPr>
          <w:b/>
          <w:lang w:val="en-GB"/>
        </w:rPr>
      </w:pPr>
      <w:r w:rsidRPr="00050701">
        <w:rPr>
          <w:b/>
          <w:lang w:val="en-GB"/>
        </w:rPr>
        <w:t xml:space="preserve">Proposal 1: Architecture 1a with full </w:t>
      </w:r>
      <w:r w:rsidR="00676F66">
        <w:rPr>
          <w:b/>
          <w:lang w:val="en-GB"/>
        </w:rPr>
        <w:t xml:space="preserve">F1 </w:t>
      </w:r>
      <w:r w:rsidRPr="00050701">
        <w:rPr>
          <w:b/>
          <w:lang w:val="en-GB"/>
        </w:rPr>
        <w:t>heade</w:t>
      </w:r>
      <w:r>
        <w:rPr>
          <w:b/>
          <w:lang w:val="en-GB"/>
        </w:rPr>
        <w:t>rs should be explicitly captured</w:t>
      </w:r>
      <w:r w:rsidRPr="00050701">
        <w:rPr>
          <w:b/>
          <w:lang w:val="en-GB"/>
        </w:rPr>
        <w:t xml:space="preserve"> in TR 38.</w:t>
      </w:r>
      <w:r>
        <w:rPr>
          <w:b/>
          <w:lang w:val="en-GB"/>
        </w:rPr>
        <w:t xml:space="preserve">874 per the text proposal in </w:t>
      </w:r>
      <w:r w:rsidR="005F5BCF" w:rsidRPr="005F5BCF">
        <w:rPr>
          <w:b/>
          <w:lang w:val="en-GB"/>
        </w:rPr>
        <w:t>R3-183056</w:t>
      </w:r>
      <w:r w:rsidRPr="00050701">
        <w:rPr>
          <w:b/>
          <w:lang w:val="en-GB"/>
        </w:rPr>
        <w:t>.</w:t>
      </w:r>
    </w:p>
    <w:p w14:paraId="5AC4FF69" w14:textId="62F385FC" w:rsidR="00320360" w:rsidRPr="000E01FD" w:rsidRDefault="00320360" w:rsidP="00320360">
      <w:pPr>
        <w:rPr>
          <w:b/>
        </w:rPr>
      </w:pPr>
      <w:r w:rsidRPr="000E01FD">
        <w:rPr>
          <w:b/>
        </w:rPr>
        <w:t>Proposal 2: Fo</w:t>
      </w:r>
      <w:r w:rsidR="00B748B3">
        <w:rPr>
          <w:b/>
        </w:rPr>
        <w:t>r backhauling of F1-AP</w:t>
      </w:r>
      <w:r w:rsidRPr="000E01FD">
        <w:rPr>
          <w:b/>
        </w:rPr>
        <w:t xml:space="preserve"> over</w:t>
      </w:r>
      <w:r>
        <w:rPr>
          <w:b/>
        </w:rPr>
        <w:t xml:space="preserve"> IAB, additional discussions should be conducted to finalize solutions</w:t>
      </w:r>
      <w:r w:rsidRPr="000E01FD">
        <w:rPr>
          <w:b/>
        </w:rPr>
        <w:t xml:space="preserve"> for architecture 1a. </w:t>
      </w:r>
    </w:p>
    <w:p w14:paraId="09C875FF" w14:textId="77777777" w:rsidR="00320360" w:rsidRPr="000E01FD" w:rsidRDefault="00320360" w:rsidP="000303D7">
      <w:pPr>
        <w:rPr>
          <w:b/>
        </w:rPr>
      </w:pPr>
    </w:p>
    <w:p w14:paraId="3C099C76" w14:textId="75B4AAA1" w:rsidR="00AF2C72" w:rsidRPr="006B13A0" w:rsidRDefault="00AF2C72" w:rsidP="006B13A0">
      <w:pPr>
        <w:pStyle w:val="Heading1"/>
      </w:pPr>
      <w:r>
        <w:t>Reference</w:t>
      </w:r>
      <w:r w:rsidR="00664446">
        <w:t>s</w:t>
      </w:r>
    </w:p>
    <w:p w14:paraId="5908A04B" w14:textId="49FCB289" w:rsidR="00195FC3" w:rsidRDefault="0064521D" w:rsidP="00AF2C72">
      <w:pPr>
        <w:pStyle w:val="2222"/>
        <w:numPr>
          <w:ilvl w:val="0"/>
          <w:numId w:val="36"/>
        </w:numPr>
        <w:spacing w:after="120" w:line="288" w:lineRule="auto"/>
        <w:ind w:left="360" w:firstLineChars="0"/>
        <w:jc w:val="left"/>
        <w:rPr>
          <w:rFonts w:cs="Times New Roman"/>
          <w:lang w:eastAsia="ko-KR"/>
        </w:rPr>
      </w:pPr>
      <w:r>
        <w:rPr>
          <w:rFonts w:cs="Times New Roman"/>
          <w:lang w:eastAsia="ko-KR"/>
        </w:rPr>
        <w:t>RP-17</w:t>
      </w:r>
      <w:r w:rsidR="00D25060">
        <w:rPr>
          <w:rFonts w:cs="Times New Roman"/>
          <w:lang w:eastAsia="ko-KR"/>
        </w:rPr>
        <w:t>2290</w:t>
      </w:r>
      <w:r>
        <w:rPr>
          <w:rFonts w:cs="Times New Roman"/>
          <w:lang w:eastAsia="ko-KR"/>
        </w:rPr>
        <w:t>, Study on Integrated Access and Backhaul for NR, AT&amp;T, Qualcomm, Samsung.</w:t>
      </w:r>
    </w:p>
    <w:p w14:paraId="5E026F60" w14:textId="331D935D" w:rsidR="00226F8B" w:rsidRDefault="00057943" w:rsidP="001140CB">
      <w:pPr>
        <w:pStyle w:val="2222"/>
        <w:numPr>
          <w:ilvl w:val="0"/>
          <w:numId w:val="36"/>
        </w:numPr>
        <w:spacing w:after="120" w:line="288" w:lineRule="auto"/>
        <w:ind w:left="360" w:firstLineChars="0"/>
        <w:jc w:val="left"/>
        <w:rPr>
          <w:rFonts w:cs="Times New Roman"/>
          <w:lang w:eastAsia="ko-KR"/>
        </w:rPr>
      </w:pPr>
      <w:r>
        <w:rPr>
          <w:rFonts w:cs="Times New Roman"/>
          <w:lang w:eastAsia="ko-KR"/>
        </w:rPr>
        <w:t>R3-181502,</w:t>
      </w:r>
      <w:r w:rsidR="001140CB" w:rsidRPr="001140CB">
        <w:rPr>
          <w:rFonts w:cs="Times New Roman"/>
          <w:lang w:eastAsia="ko-KR"/>
        </w:rPr>
        <w:t xml:space="preserve"> Way Forward – IAB Architecture for L2/3 relaying; Qualcomm Inc, KDDI, AT&amp;T, Nokia, Nokia Shanghai Bell, Huawei, Ericsson, Intel, LG Electronics, CMCC, Sa</w:t>
      </w:r>
      <w:r>
        <w:rPr>
          <w:rFonts w:cs="Times New Roman"/>
          <w:lang w:eastAsia="ko-KR"/>
        </w:rPr>
        <w:t>msung.</w:t>
      </w:r>
    </w:p>
    <w:p w14:paraId="436A0822" w14:textId="3229FE38" w:rsidR="005D0BA5" w:rsidRDefault="00F00037" w:rsidP="00985DD0">
      <w:pPr>
        <w:pStyle w:val="2222"/>
        <w:numPr>
          <w:ilvl w:val="0"/>
          <w:numId w:val="36"/>
        </w:numPr>
        <w:spacing w:after="120" w:line="288" w:lineRule="auto"/>
        <w:ind w:left="360" w:firstLineChars="0"/>
        <w:jc w:val="left"/>
        <w:rPr>
          <w:rFonts w:cs="Times New Roman"/>
          <w:lang w:eastAsia="ko-KR"/>
        </w:rPr>
      </w:pPr>
      <w:r>
        <w:rPr>
          <w:rFonts w:cs="Times New Roman"/>
          <w:lang w:eastAsia="ko-KR"/>
        </w:rPr>
        <w:t>R3-</w:t>
      </w:r>
      <w:r w:rsidR="00985DD0">
        <w:rPr>
          <w:rFonts w:cs="Times New Roman"/>
          <w:lang w:eastAsia="ko-KR"/>
        </w:rPr>
        <w:t xml:space="preserve">182297, </w:t>
      </w:r>
      <w:r w:rsidR="00231FCB">
        <w:rPr>
          <w:rFonts w:cs="Times New Roman"/>
          <w:lang w:eastAsia="ko-KR"/>
        </w:rPr>
        <w:t>On B</w:t>
      </w:r>
      <w:r w:rsidR="00985DD0" w:rsidRPr="00985DD0">
        <w:rPr>
          <w:rFonts w:cs="Times New Roman"/>
          <w:lang w:eastAsia="ko-KR"/>
        </w:rPr>
        <w:t>ackhauling of F1-U and F1-C for IAB with L2 relaying</w:t>
      </w:r>
      <w:r w:rsidR="00985DD0">
        <w:rPr>
          <w:rFonts w:cs="Times New Roman"/>
          <w:lang w:eastAsia="ko-KR"/>
        </w:rPr>
        <w:t>, AT&amp;T</w:t>
      </w:r>
      <w:r w:rsidR="00231FCB">
        <w:rPr>
          <w:rFonts w:cs="Times New Roman"/>
          <w:lang w:eastAsia="ko-KR"/>
        </w:rPr>
        <w:t>.</w:t>
      </w:r>
    </w:p>
    <w:p w14:paraId="78DD6CBD" w14:textId="132DA97E" w:rsidR="001B1BFF" w:rsidRDefault="00794317" w:rsidP="00985DD0">
      <w:pPr>
        <w:pStyle w:val="2222"/>
        <w:numPr>
          <w:ilvl w:val="0"/>
          <w:numId w:val="36"/>
        </w:numPr>
        <w:spacing w:after="120" w:line="288" w:lineRule="auto"/>
        <w:ind w:left="360" w:firstLineChars="0"/>
        <w:jc w:val="left"/>
        <w:rPr>
          <w:rFonts w:cs="Times New Roman"/>
          <w:lang w:eastAsia="ko-KR"/>
        </w:rPr>
      </w:pPr>
      <w:r>
        <w:rPr>
          <w:rFonts w:cs="Times New Roman"/>
          <w:lang w:eastAsia="ko-KR"/>
        </w:rPr>
        <w:t>R3-182247</w:t>
      </w:r>
      <w:r w:rsidR="00231FCB">
        <w:rPr>
          <w:rFonts w:cs="Times New Roman"/>
          <w:lang w:eastAsia="ko-KR"/>
        </w:rPr>
        <w:t xml:space="preserve">, Protocol Stack for IAB Architecture 1a and 1b, Ericsson. </w:t>
      </w:r>
    </w:p>
    <w:p w14:paraId="1506D526" w14:textId="53A5DF3F" w:rsidR="00231FCB" w:rsidRDefault="00585615" w:rsidP="00585615">
      <w:pPr>
        <w:pStyle w:val="2222"/>
        <w:numPr>
          <w:ilvl w:val="0"/>
          <w:numId w:val="36"/>
        </w:numPr>
        <w:spacing w:after="120" w:line="288" w:lineRule="auto"/>
        <w:ind w:left="360" w:firstLineChars="0"/>
        <w:jc w:val="left"/>
        <w:rPr>
          <w:rFonts w:cs="Times New Roman"/>
          <w:lang w:eastAsia="ko-KR"/>
        </w:rPr>
      </w:pPr>
      <w:r w:rsidRPr="00585615">
        <w:rPr>
          <w:rFonts w:cs="Times New Roman"/>
          <w:lang w:eastAsia="ko-KR"/>
        </w:rPr>
        <w:t>R3-183056</w:t>
      </w:r>
      <w:r w:rsidR="001B1BFF">
        <w:rPr>
          <w:rFonts w:cs="Times New Roman"/>
          <w:lang w:eastAsia="ko-KR"/>
        </w:rPr>
        <w:t xml:space="preserve">, </w:t>
      </w:r>
      <w:r w:rsidR="001B1BFF" w:rsidRPr="001B1BFF">
        <w:rPr>
          <w:rFonts w:cs="Times New Roman"/>
          <w:lang w:eastAsia="ko-KR"/>
        </w:rPr>
        <w:t>Text proposal to 38.874: Adding architecture 1a with full headers</w:t>
      </w:r>
      <w:r w:rsidR="001B1BFF">
        <w:rPr>
          <w:rFonts w:cs="Times New Roman"/>
          <w:lang w:eastAsia="ko-KR"/>
        </w:rPr>
        <w:t>, Ericsson, AT&amp;T</w:t>
      </w:r>
    </w:p>
    <w:p w14:paraId="5C8400CB" w14:textId="01BF54B1" w:rsidR="007A4287" w:rsidRPr="00195FC3" w:rsidRDefault="007A4287" w:rsidP="007A4287">
      <w:pPr>
        <w:pStyle w:val="2222"/>
        <w:spacing w:after="120" w:line="288" w:lineRule="auto"/>
        <w:ind w:firstLineChars="0" w:firstLine="0"/>
        <w:jc w:val="left"/>
        <w:rPr>
          <w:rFonts w:cs="Times New Roman"/>
          <w:lang w:eastAsia="ko-KR"/>
        </w:rPr>
      </w:pPr>
    </w:p>
    <w:sectPr w:rsidR="007A4287" w:rsidRPr="00195FC3" w:rsidSect="001D737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40B96" w14:textId="77777777" w:rsidR="00E85E14" w:rsidRDefault="00E85E14" w:rsidP="00A03DF3">
      <w:pPr>
        <w:spacing w:after="0"/>
      </w:pPr>
      <w:r>
        <w:separator/>
      </w:r>
    </w:p>
  </w:endnote>
  <w:endnote w:type="continuationSeparator" w:id="0">
    <w:p w14:paraId="7BA50CE3" w14:textId="77777777" w:rsidR="00E85E14" w:rsidRDefault="00E85E14"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5F3D27DF"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093AC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3AC2">
      <w:rPr>
        <w:rStyle w:val="PageNumber"/>
      </w:rPr>
      <w:t>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706C" w14:textId="77777777" w:rsidR="000B3C8E" w:rsidRDefault="000B3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AD310" w14:textId="77777777" w:rsidR="00E85E14" w:rsidRDefault="00E85E14" w:rsidP="00A03DF3">
      <w:pPr>
        <w:spacing w:after="0"/>
      </w:pPr>
      <w:r>
        <w:separator/>
      </w:r>
    </w:p>
  </w:footnote>
  <w:footnote w:type="continuationSeparator" w:id="0">
    <w:p w14:paraId="52956DA3" w14:textId="77777777" w:rsidR="00E85E14" w:rsidRDefault="00E85E14"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2359" w14:textId="77777777" w:rsidR="000B3C8E" w:rsidRDefault="000B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72AA" w14:textId="77777777" w:rsidR="000B3C8E" w:rsidRDefault="000B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0610762"/>
    <w:multiLevelType w:val="hybridMultilevel"/>
    <w:tmpl w:val="2CDEAC28"/>
    <w:lvl w:ilvl="0" w:tplc="AC826AF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622525"/>
    <w:multiLevelType w:val="hybridMultilevel"/>
    <w:tmpl w:val="49ACA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37282E"/>
    <w:multiLevelType w:val="hybridMultilevel"/>
    <w:tmpl w:val="457E7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17B8D"/>
    <w:multiLevelType w:val="hybridMultilevel"/>
    <w:tmpl w:val="C54A1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A86004"/>
    <w:multiLevelType w:val="hybridMultilevel"/>
    <w:tmpl w:val="3D7C4C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BD6FD8"/>
    <w:multiLevelType w:val="hybridMultilevel"/>
    <w:tmpl w:val="F97E08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251BF3"/>
    <w:multiLevelType w:val="hybridMultilevel"/>
    <w:tmpl w:val="D0282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F62A1B"/>
    <w:multiLevelType w:val="hybridMultilevel"/>
    <w:tmpl w:val="0DA24BE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3"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9"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40"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8"/>
  </w:num>
  <w:num w:numId="4">
    <w:abstractNumId w:val="6"/>
  </w:num>
  <w:num w:numId="5">
    <w:abstractNumId w:val="17"/>
  </w:num>
  <w:num w:numId="6">
    <w:abstractNumId w:val="8"/>
  </w:num>
  <w:num w:numId="7">
    <w:abstractNumId w:val="45"/>
  </w:num>
  <w:num w:numId="8">
    <w:abstractNumId w:val="26"/>
  </w:num>
  <w:num w:numId="9">
    <w:abstractNumId w:val="37"/>
  </w:num>
  <w:num w:numId="10">
    <w:abstractNumId w:val="3"/>
  </w:num>
  <w:num w:numId="11">
    <w:abstractNumId w:val="12"/>
  </w:num>
  <w:num w:numId="12">
    <w:abstractNumId w:val="36"/>
  </w:num>
  <w:num w:numId="13">
    <w:abstractNumId w:val="16"/>
  </w:num>
  <w:num w:numId="14">
    <w:abstractNumId w:val="23"/>
  </w:num>
  <w:num w:numId="15">
    <w:abstractNumId w:val="25"/>
  </w:num>
  <w:num w:numId="16">
    <w:abstractNumId w:val="38"/>
  </w:num>
  <w:num w:numId="17">
    <w:abstractNumId w:val="43"/>
  </w:num>
  <w:num w:numId="18">
    <w:abstractNumId w:val="1"/>
  </w:num>
  <w:num w:numId="19">
    <w:abstractNumId w:val="4"/>
  </w:num>
  <w:num w:numId="20">
    <w:abstractNumId w:val="35"/>
  </w:num>
  <w:num w:numId="21">
    <w:abstractNumId w:val="22"/>
  </w:num>
  <w:num w:numId="22">
    <w:abstractNumId w:val="24"/>
  </w:num>
  <w:num w:numId="23">
    <w:abstractNumId w:val="33"/>
  </w:num>
  <w:num w:numId="24">
    <w:abstractNumId w:val="27"/>
  </w:num>
  <w:num w:numId="25">
    <w:abstractNumId w:val="21"/>
  </w:num>
  <w:num w:numId="26">
    <w:abstractNumId w:val="44"/>
  </w:num>
  <w:num w:numId="27">
    <w:abstractNumId w:val="10"/>
  </w:num>
  <w:num w:numId="28">
    <w:abstractNumId w:val="42"/>
  </w:num>
  <w:num w:numId="29">
    <w:abstractNumId w:val="34"/>
  </w:num>
  <w:num w:numId="30">
    <w:abstractNumId w:val="7"/>
  </w:num>
  <w:num w:numId="31">
    <w:abstractNumId w:val="29"/>
  </w:num>
  <w:num w:numId="32">
    <w:abstractNumId w:val="31"/>
  </w:num>
  <w:num w:numId="33">
    <w:abstractNumId w:val="41"/>
  </w:num>
  <w:num w:numId="34">
    <w:abstractNumId w:val="40"/>
  </w:num>
  <w:num w:numId="35">
    <w:abstractNumId w:val="15"/>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19"/>
  </w:num>
  <w:num w:numId="39">
    <w:abstractNumId w:val="30"/>
  </w:num>
  <w:num w:numId="40">
    <w:abstractNumId w:val="9"/>
  </w:num>
  <w:num w:numId="41">
    <w:abstractNumId w:val="14"/>
  </w:num>
  <w:num w:numId="42">
    <w:abstractNumId w:val="5"/>
  </w:num>
  <w:num w:numId="43">
    <w:abstractNumId w:val="39"/>
  </w:num>
  <w:num w:numId="44">
    <w:abstractNumId w:val="20"/>
  </w:num>
  <w:num w:numId="45">
    <w:abstractNumId w:val="13"/>
  </w:num>
  <w:num w:numId="46">
    <w:abstractNumId w:val="28"/>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595"/>
    <w:rsid w:val="00001FDA"/>
    <w:rsid w:val="00010AD5"/>
    <w:rsid w:val="00011622"/>
    <w:rsid w:val="0001527B"/>
    <w:rsid w:val="00015895"/>
    <w:rsid w:val="000159A3"/>
    <w:rsid w:val="00016C91"/>
    <w:rsid w:val="000219F8"/>
    <w:rsid w:val="00027C22"/>
    <w:rsid w:val="00027EBC"/>
    <w:rsid w:val="000303D7"/>
    <w:rsid w:val="00030C32"/>
    <w:rsid w:val="00030F70"/>
    <w:rsid w:val="00033AB4"/>
    <w:rsid w:val="00035544"/>
    <w:rsid w:val="00035EA3"/>
    <w:rsid w:val="00036CD9"/>
    <w:rsid w:val="00042C6B"/>
    <w:rsid w:val="00043BFA"/>
    <w:rsid w:val="0004589F"/>
    <w:rsid w:val="00045958"/>
    <w:rsid w:val="00045CDA"/>
    <w:rsid w:val="00050701"/>
    <w:rsid w:val="00051B99"/>
    <w:rsid w:val="00057943"/>
    <w:rsid w:val="00066211"/>
    <w:rsid w:val="00066D52"/>
    <w:rsid w:val="0007152D"/>
    <w:rsid w:val="000832B2"/>
    <w:rsid w:val="0008638E"/>
    <w:rsid w:val="00090F30"/>
    <w:rsid w:val="00091745"/>
    <w:rsid w:val="00092FC7"/>
    <w:rsid w:val="000935E4"/>
    <w:rsid w:val="00093AC2"/>
    <w:rsid w:val="0009478A"/>
    <w:rsid w:val="000954F9"/>
    <w:rsid w:val="000959FE"/>
    <w:rsid w:val="000A006B"/>
    <w:rsid w:val="000A1C3B"/>
    <w:rsid w:val="000A3623"/>
    <w:rsid w:val="000A3742"/>
    <w:rsid w:val="000A4B9C"/>
    <w:rsid w:val="000A690F"/>
    <w:rsid w:val="000A7C5A"/>
    <w:rsid w:val="000B3C8E"/>
    <w:rsid w:val="000B4387"/>
    <w:rsid w:val="000B5342"/>
    <w:rsid w:val="000C2AB2"/>
    <w:rsid w:val="000C3241"/>
    <w:rsid w:val="000C54D1"/>
    <w:rsid w:val="000C5F30"/>
    <w:rsid w:val="000D0C89"/>
    <w:rsid w:val="000D0DED"/>
    <w:rsid w:val="000D0F48"/>
    <w:rsid w:val="000D44F3"/>
    <w:rsid w:val="000D7B19"/>
    <w:rsid w:val="000E01FD"/>
    <w:rsid w:val="000E201B"/>
    <w:rsid w:val="000E4677"/>
    <w:rsid w:val="000E4978"/>
    <w:rsid w:val="000E7D06"/>
    <w:rsid w:val="000F0E8F"/>
    <w:rsid w:val="000F10A1"/>
    <w:rsid w:val="000F70D6"/>
    <w:rsid w:val="001001EF"/>
    <w:rsid w:val="001026C3"/>
    <w:rsid w:val="00104EC2"/>
    <w:rsid w:val="00104F96"/>
    <w:rsid w:val="00105963"/>
    <w:rsid w:val="00107EBD"/>
    <w:rsid w:val="00112BF4"/>
    <w:rsid w:val="001140CB"/>
    <w:rsid w:val="001153C1"/>
    <w:rsid w:val="0011607E"/>
    <w:rsid w:val="00116777"/>
    <w:rsid w:val="00116964"/>
    <w:rsid w:val="001215A0"/>
    <w:rsid w:val="00123BDE"/>
    <w:rsid w:val="001241AA"/>
    <w:rsid w:val="00125BD3"/>
    <w:rsid w:val="001268BD"/>
    <w:rsid w:val="00130532"/>
    <w:rsid w:val="001324C6"/>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74F07"/>
    <w:rsid w:val="00175C50"/>
    <w:rsid w:val="001764C0"/>
    <w:rsid w:val="00180BD3"/>
    <w:rsid w:val="00182D46"/>
    <w:rsid w:val="00183B2D"/>
    <w:rsid w:val="00184167"/>
    <w:rsid w:val="00184D73"/>
    <w:rsid w:val="001867C5"/>
    <w:rsid w:val="0019306E"/>
    <w:rsid w:val="00195190"/>
    <w:rsid w:val="00195FC3"/>
    <w:rsid w:val="001968DB"/>
    <w:rsid w:val="001974D0"/>
    <w:rsid w:val="001A059E"/>
    <w:rsid w:val="001A0BC6"/>
    <w:rsid w:val="001A73F9"/>
    <w:rsid w:val="001B00DF"/>
    <w:rsid w:val="001B07D0"/>
    <w:rsid w:val="001B148E"/>
    <w:rsid w:val="001B1BFF"/>
    <w:rsid w:val="001B1ED0"/>
    <w:rsid w:val="001B4F33"/>
    <w:rsid w:val="001B60A9"/>
    <w:rsid w:val="001B6C4D"/>
    <w:rsid w:val="001B7FC7"/>
    <w:rsid w:val="001C2188"/>
    <w:rsid w:val="001C3C25"/>
    <w:rsid w:val="001C4C18"/>
    <w:rsid w:val="001C5C93"/>
    <w:rsid w:val="001C6ABD"/>
    <w:rsid w:val="001D1411"/>
    <w:rsid w:val="001D2324"/>
    <w:rsid w:val="001D4912"/>
    <w:rsid w:val="001D502E"/>
    <w:rsid w:val="001D5464"/>
    <w:rsid w:val="001D7377"/>
    <w:rsid w:val="001E0FE1"/>
    <w:rsid w:val="001E7A26"/>
    <w:rsid w:val="001F0EBA"/>
    <w:rsid w:val="001F42C9"/>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26F8B"/>
    <w:rsid w:val="0023027D"/>
    <w:rsid w:val="00231FCB"/>
    <w:rsid w:val="002329AE"/>
    <w:rsid w:val="002343BE"/>
    <w:rsid w:val="00235F16"/>
    <w:rsid w:val="00235F95"/>
    <w:rsid w:val="00236601"/>
    <w:rsid w:val="00243337"/>
    <w:rsid w:val="00243B4D"/>
    <w:rsid w:val="00245D97"/>
    <w:rsid w:val="00247ECD"/>
    <w:rsid w:val="00250A2F"/>
    <w:rsid w:val="00250CF1"/>
    <w:rsid w:val="00250D87"/>
    <w:rsid w:val="0025103A"/>
    <w:rsid w:val="00251768"/>
    <w:rsid w:val="00252548"/>
    <w:rsid w:val="002525D1"/>
    <w:rsid w:val="00253CE0"/>
    <w:rsid w:val="0025521A"/>
    <w:rsid w:val="002632D5"/>
    <w:rsid w:val="002639F5"/>
    <w:rsid w:val="00264F59"/>
    <w:rsid w:val="00265913"/>
    <w:rsid w:val="0026628D"/>
    <w:rsid w:val="002665E9"/>
    <w:rsid w:val="00270E7D"/>
    <w:rsid w:val="00273449"/>
    <w:rsid w:val="00273B90"/>
    <w:rsid w:val="00276192"/>
    <w:rsid w:val="00276AAD"/>
    <w:rsid w:val="00277131"/>
    <w:rsid w:val="00280D6A"/>
    <w:rsid w:val="00282243"/>
    <w:rsid w:val="00292567"/>
    <w:rsid w:val="002947BA"/>
    <w:rsid w:val="00294E72"/>
    <w:rsid w:val="0029571A"/>
    <w:rsid w:val="002A1115"/>
    <w:rsid w:val="002A443F"/>
    <w:rsid w:val="002B0E30"/>
    <w:rsid w:val="002B113B"/>
    <w:rsid w:val="002B26F8"/>
    <w:rsid w:val="002B6ADF"/>
    <w:rsid w:val="002C49F0"/>
    <w:rsid w:val="002C68F6"/>
    <w:rsid w:val="002D0E77"/>
    <w:rsid w:val="002D1D49"/>
    <w:rsid w:val="002D52C3"/>
    <w:rsid w:val="002D566F"/>
    <w:rsid w:val="002D6C48"/>
    <w:rsid w:val="002D6FB7"/>
    <w:rsid w:val="002E026C"/>
    <w:rsid w:val="002E3614"/>
    <w:rsid w:val="002E37DE"/>
    <w:rsid w:val="002F0C46"/>
    <w:rsid w:val="002F1B33"/>
    <w:rsid w:val="002F3FC4"/>
    <w:rsid w:val="002F6E14"/>
    <w:rsid w:val="00301F11"/>
    <w:rsid w:val="00303721"/>
    <w:rsid w:val="00304012"/>
    <w:rsid w:val="00305BD0"/>
    <w:rsid w:val="0031220B"/>
    <w:rsid w:val="00312297"/>
    <w:rsid w:val="00316619"/>
    <w:rsid w:val="00317DDA"/>
    <w:rsid w:val="00320360"/>
    <w:rsid w:val="00320BD0"/>
    <w:rsid w:val="00320FBE"/>
    <w:rsid w:val="00323D1C"/>
    <w:rsid w:val="003246F3"/>
    <w:rsid w:val="003266DD"/>
    <w:rsid w:val="0033045D"/>
    <w:rsid w:val="0033138F"/>
    <w:rsid w:val="00331DD7"/>
    <w:rsid w:val="0033264B"/>
    <w:rsid w:val="00332CC0"/>
    <w:rsid w:val="003336FC"/>
    <w:rsid w:val="003346E4"/>
    <w:rsid w:val="00337899"/>
    <w:rsid w:val="00337FAE"/>
    <w:rsid w:val="00340D03"/>
    <w:rsid w:val="0034274F"/>
    <w:rsid w:val="00343D0D"/>
    <w:rsid w:val="00346DAD"/>
    <w:rsid w:val="00351A81"/>
    <w:rsid w:val="003547D5"/>
    <w:rsid w:val="003572C1"/>
    <w:rsid w:val="00357B90"/>
    <w:rsid w:val="00363E20"/>
    <w:rsid w:val="0036606A"/>
    <w:rsid w:val="0037404F"/>
    <w:rsid w:val="00374EB9"/>
    <w:rsid w:val="00375AB6"/>
    <w:rsid w:val="00376A4C"/>
    <w:rsid w:val="003778D9"/>
    <w:rsid w:val="00377A07"/>
    <w:rsid w:val="00382B8E"/>
    <w:rsid w:val="00383E57"/>
    <w:rsid w:val="00387A55"/>
    <w:rsid w:val="00390188"/>
    <w:rsid w:val="0039198A"/>
    <w:rsid w:val="00393F89"/>
    <w:rsid w:val="0039473D"/>
    <w:rsid w:val="003957DD"/>
    <w:rsid w:val="00395A22"/>
    <w:rsid w:val="003A157A"/>
    <w:rsid w:val="003A17F8"/>
    <w:rsid w:val="003A1BE3"/>
    <w:rsid w:val="003A1CDB"/>
    <w:rsid w:val="003A3C47"/>
    <w:rsid w:val="003A6195"/>
    <w:rsid w:val="003A78B4"/>
    <w:rsid w:val="003A79ED"/>
    <w:rsid w:val="003B28E2"/>
    <w:rsid w:val="003B3634"/>
    <w:rsid w:val="003B4545"/>
    <w:rsid w:val="003B5826"/>
    <w:rsid w:val="003B5C49"/>
    <w:rsid w:val="003C04C9"/>
    <w:rsid w:val="003C0E79"/>
    <w:rsid w:val="003C7444"/>
    <w:rsid w:val="003D19EF"/>
    <w:rsid w:val="003D2E6C"/>
    <w:rsid w:val="003D359A"/>
    <w:rsid w:val="003D41DA"/>
    <w:rsid w:val="003D53F0"/>
    <w:rsid w:val="003D6E67"/>
    <w:rsid w:val="003D7039"/>
    <w:rsid w:val="003E17FB"/>
    <w:rsid w:val="003E3239"/>
    <w:rsid w:val="003E3522"/>
    <w:rsid w:val="003E516B"/>
    <w:rsid w:val="003E6804"/>
    <w:rsid w:val="003E78B6"/>
    <w:rsid w:val="003E7DEE"/>
    <w:rsid w:val="003F18D4"/>
    <w:rsid w:val="003F1A54"/>
    <w:rsid w:val="003F6345"/>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5008"/>
    <w:rsid w:val="004373B3"/>
    <w:rsid w:val="004377F0"/>
    <w:rsid w:val="0044429E"/>
    <w:rsid w:val="0044468E"/>
    <w:rsid w:val="004457B1"/>
    <w:rsid w:val="00446B9E"/>
    <w:rsid w:val="00451BA0"/>
    <w:rsid w:val="00452CC2"/>
    <w:rsid w:val="00453791"/>
    <w:rsid w:val="00455F71"/>
    <w:rsid w:val="00460FF1"/>
    <w:rsid w:val="00462337"/>
    <w:rsid w:val="00464EBF"/>
    <w:rsid w:val="004678E8"/>
    <w:rsid w:val="00470821"/>
    <w:rsid w:val="00477A4A"/>
    <w:rsid w:val="004830B1"/>
    <w:rsid w:val="00484322"/>
    <w:rsid w:val="00484629"/>
    <w:rsid w:val="00487D79"/>
    <w:rsid w:val="00490BCC"/>
    <w:rsid w:val="00490FC9"/>
    <w:rsid w:val="00491CAF"/>
    <w:rsid w:val="00492AF8"/>
    <w:rsid w:val="00492D9F"/>
    <w:rsid w:val="004934E6"/>
    <w:rsid w:val="0049755C"/>
    <w:rsid w:val="004A3349"/>
    <w:rsid w:val="004A361B"/>
    <w:rsid w:val="004A5460"/>
    <w:rsid w:val="004A6EA1"/>
    <w:rsid w:val="004A7A57"/>
    <w:rsid w:val="004A7FD5"/>
    <w:rsid w:val="004B1914"/>
    <w:rsid w:val="004B334F"/>
    <w:rsid w:val="004B3FE5"/>
    <w:rsid w:val="004B53E3"/>
    <w:rsid w:val="004B761C"/>
    <w:rsid w:val="004B7973"/>
    <w:rsid w:val="004C01AE"/>
    <w:rsid w:val="004C05ED"/>
    <w:rsid w:val="004C157C"/>
    <w:rsid w:val="004C5E1C"/>
    <w:rsid w:val="004C6E15"/>
    <w:rsid w:val="004D23C9"/>
    <w:rsid w:val="004D2D73"/>
    <w:rsid w:val="004D4847"/>
    <w:rsid w:val="004E24E6"/>
    <w:rsid w:val="004E2B12"/>
    <w:rsid w:val="004F14EC"/>
    <w:rsid w:val="005005DC"/>
    <w:rsid w:val="00502F81"/>
    <w:rsid w:val="00507616"/>
    <w:rsid w:val="00512C66"/>
    <w:rsid w:val="005132EB"/>
    <w:rsid w:val="00515991"/>
    <w:rsid w:val="00520D3A"/>
    <w:rsid w:val="00523E5C"/>
    <w:rsid w:val="00526E57"/>
    <w:rsid w:val="00527629"/>
    <w:rsid w:val="0052789C"/>
    <w:rsid w:val="00530A7F"/>
    <w:rsid w:val="00534474"/>
    <w:rsid w:val="00542900"/>
    <w:rsid w:val="00546C64"/>
    <w:rsid w:val="00547465"/>
    <w:rsid w:val="00550D62"/>
    <w:rsid w:val="005523E0"/>
    <w:rsid w:val="0055311C"/>
    <w:rsid w:val="0055425E"/>
    <w:rsid w:val="00554916"/>
    <w:rsid w:val="00556937"/>
    <w:rsid w:val="00557E3C"/>
    <w:rsid w:val="00560B0A"/>
    <w:rsid w:val="005653FB"/>
    <w:rsid w:val="00566D2E"/>
    <w:rsid w:val="005672AD"/>
    <w:rsid w:val="0056776F"/>
    <w:rsid w:val="00572547"/>
    <w:rsid w:val="005745E3"/>
    <w:rsid w:val="00574896"/>
    <w:rsid w:val="00576219"/>
    <w:rsid w:val="00577765"/>
    <w:rsid w:val="00583324"/>
    <w:rsid w:val="00585441"/>
    <w:rsid w:val="00585615"/>
    <w:rsid w:val="0058635D"/>
    <w:rsid w:val="0058748B"/>
    <w:rsid w:val="00591605"/>
    <w:rsid w:val="00594E1F"/>
    <w:rsid w:val="005A13B6"/>
    <w:rsid w:val="005A15BD"/>
    <w:rsid w:val="005B4A31"/>
    <w:rsid w:val="005C17F4"/>
    <w:rsid w:val="005C1BF7"/>
    <w:rsid w:val="005C1CAB"/>
    <w:rsid w:val="005C5F6F"/>
    <w:rsid w:val="005C6FED"/>
    <w:rsid w:val="005D0BA5"/>
    <w:rsid w:val="005D4158"/>
    <w:rsid w:val="005D5C0A"/>
    <w:rsid w:val="005D693B"/>
    <w:rsid w:val="005E303C"/>
    <w:rsid w:val="005E394B"/>
    <w:rsid w:val="005E617B"/>
    <w:rsid w:val="005E6E5E"/>
    <w:rsid w:val="005F2BEE"/>
    <w:rsid w:val="005F352C"/>
    <w:rsid w:val="005F49BE"/>
    <w:rsid w:val="005F5BCF"/>
    <w:rsid w:val="005F62CC"/>
    <w:rsid w:val="005F78B3"/>
    <w:rsid w:val="006065B8"/>
    <w:rsid w:val="006126DD"/>
    <w:rsid w:val="00614A69"/>
    <w:rsid w:val="0061677A"/>
    <w:rsid w:val="00616831"/>
    <w:rsid w:val="00620B9B"/>
    <w:rsid w:val="00622E16"/>
    <w:rsid w:val="00624938"/>
    <w:rsid w:val="00624F5C"/>
    <w:rsid w:val="006251BF"/>
    <w:rsid w:val="006254D9"/>
    <w:rsid w:val="0062730F"/>
    <w:rsid w:val="0062773D"/>
    <w:rsid w:val="00633588"/>
    <w:rsid w:val="00633A92"/>
    <w:rsid w:val="00636C9C"/>
    <w:rsid w:val="00637208"/>
    <w:rsid w:val="00640FCE"/>
    <w:rsid w:val="00641160"/>
    <w:rsid w:val="00644658"/>
    <w:rsid w:val="0064482B"/>
    <w:rsid w:val="0064521D"/>
    <w:rsid w:val="00645CBE"/>
    <w:rsid w:val="006469A7"/>
    <w:rsid w:val="00647991"/>
    <w:rsid w:val="00647AC9"/>
    <w:rsid w:val="00652B6D"/>
    <w:rsid w:val="0065305D"/>
    <w:rsid w:val="00653B6D"/>
    <w:rsid w:val="00655A41"/>
    <w:rsid w:val="00655B30"/>
    <w:rsid w:val="0065608D"/>
    <w:rsid w:val="0066172B"/>
    <w:rsid w:val="006625D4"/>
    <w:rsid w:val="00662774"/>
    <w:rsid w:val="00664446"/>
    <w:rsid w:val="0067232E"/>
    <w:rsid w:val="006740BC"/>
    <w:rsid w:val="00676C08"/>
    <w:rsid w:val="00676F66"/>
    <w:rsid w:val="006774EA"/>
    <w:rsid w:val="006806F4"/>
    <w:rsid w:val="00682E8A"/>
    <w:rsid w:val="00683F52"/>
    <w:rsid w:val="00684402"/>
    <w:rsid w:val="00690ECB"/>
    <w:rsid w:val="00692A94"/>
    <w:rsid w:val="006931F2"/>
    <w:rsid w:val="00697235"/>
    <w:rsid w:val="00697CB2"/>
    <w:rsid w:val="006B13A0"/>
    <w:rsid w:val="006B20AF"/>
    <w:rsid w:val="006B3A23"/>
    <w:rsid w:val="006D06BF"/>
    <w:rsid w:val="006D41F1"/>
    <w:rsid w:val="006D4F51"/>
    <w:rsid w:val="006D71C6"/>
    <w:rsid w:val="006E3876"/>
    <w:rsid w:val="006E49A9"/>
    <w:rsid w:val="006E5D2D"/>
    <w:rsid w:val="006F1AB8"/>
    <w:rsid w:val="006F1DB7"/>
    <w:rsid w:val="006F467E"/>
    <w:rsid w:val="006F67B2"/>
    <w:rsid w:val="00700F24"/>
    <w:rsid w:val="00701722"/>
    <w:rsid w:val="00701AC6"/>
    <w:rsid w:val="00701D4D"/>
    <w:rsid w:val="007038C7"/>
    <w:rsid w:val="0071017C"/>
    <w:rsid w:val="007133C3"/>
    <w:rsid w:val="007150AB"/>
    <w:rsid w:val="00721AED"/>
    <w:rsid w:val="007220D3"/>
    <w:rsid w:val="007224EE"/>
    <w:rsid w:val="00723119"/>
    <w:rsid w:val="00723AD7"/>
    <w:rsid w:val="00724228"/>
    <w:rsid w:val="00724A2A"/>
    <w:rsid w:val="00726A03"/>
    <w:rsid w:val="007314F6"/>
    <w:rsid w:val="00731F4C"/>
    <w:rsid w:val="007354D0"/>
    <w:rsid w:val="007363D1"/>
    <w:rsid w:val="00737AE7"/>
    <w:rsid w:val="007420B8"/>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2137"/>
    <w:rsid w:val="00782F4C"/>
    <w:rsid w:val="007842E3"/>
    <w:rsid w:val="007854CB"/>
    <w:rsid w:val="00785FC0"/>
    <w:rsid w:val="00787355"/>
    <w:rsid w:val="00787DC9"/>
    <w:rsid w:val="007933F1"/>
    <w:rsid w:val="00794317"/>
    <w:rsid w:val="00794BEE"/>
    <w:rsid w:val="00795488"/>
    <w:rsid w:val="00795D96"/>
    <w:rsid w:val="007970B4"/>
    <w:rsid w:val="007A4287"/>
    <w:rsid w:val="007A4702"/>
    <w:rsid w:val="007A5533"/>
    <w:rsid w:val="007A5A73"/>
    <w:rsid w:val="007B0698"/>
    <w:rsid w:val="007B1EF8"/>
    <w:rsid w:val="007B3085"/>
    <w:rsid w:val="007B3DE9"/>
    <w:rsid w:val="007B4487"/>
    <w:rsid w:val="007B4F78"/>
    <w:rsid w:val="007B5790"/>
    <w:rsid w:val="007B6396"/>
    <w:rsid w:val="007B6A8C"/>
    <w:rsid w:val="007B6F7A"/>
    <w:rsid w:val="007B777E"/>
    <w:rsid w:val="007C02F6"/>
    <w:rsid w:val="007C3145"/>
    <w:rsid w:val="007C3B30"/>
    <w:rsid w:val="007D025A"/>
    <w:rsid w:val="007D37A6"/>
    <w:rsid w:val="007D4364"/>
    <w:rsid w:val="007D4EF8"/>
    <w:rsid w:val="007E1361"/>
    <w:rsid w:val="007E3019"/>
    <w:rsid w:val="007E31D6"/>
    <w:rsid w:val="007E403A"/>
    <w:rsid w:val="007E466A"/>
    <w:rsid w:val="007E5AFA"/>
    <w:rsid w:val="007E67DA"/>
    <w:rsid w:val="007F08CC"/>
    <w:rsid w:val="007F1518"/>
    <w:rsid w:val="007F36CD"/>
    <w:rsid w:val="007F622A"/>
    <w:rsid w:val="00805A8F"/>
    <w:rsid w:val="00805CD7"/>
    <w:rsid w:val="00806F34"/>
    <w:rsid w:val="00811A50"/>
    <w:rsid w:val="00812116"/>
    <w:rsid w:val="008124BF"/>
    <w:rsid w:val="008169EA"/>
    <w:rsid w:val="00816FB9"/>
    <w:rsid w:val="00817943"/>
    <w:rsid w:val="008236D0"/>
    <w:rsid w:val="008255CA"/>
    <w:rsid w:val="00825EC8"/>
    <w:rsid w:val="00827431"/>
    <w:rsid w:val="008307E3"/>
    <w:rsid w:val="00832D6D"/>
    <w:rsid w:val="00835340"/>
    <w:rsid w:val="008365EB"/>
    <w:rsid w:val="00840100"/>
    <w:rsid w:val="00841D9F"/>
    <w:rsid w:val="00842CAE"/>
    <w:rsid w:val="00846200"/>
    <w:rsid w:val="00847215"/>
    <w:rsid w:val="0085091F"/>
    <w:rsid w:val="0085274A"/>
    <w:rsid w:val="00853B77"/>
    <w:rsid w:val="0085631E"/>
    <w:rsid w:val="0086141D"/>
    <w:rsid w:val="008640DB"/>
    <w:rsid w:val="008645B9"/>
    <w:rsid w:val="00870B70"/>
    <w:rsid w:val="00872C91"/>
    <w:rsid w:val="00874247"/>
    <w:rsid w:val="0088025E"/>
    <w:rsid w:val="0088342F"/>
    <w:rsid w:val="00884757"/>
    <w:rsid w:val="008866D5"/>
    <w:rsid w:val="00886C69"/>
    <w:rsid w:val="00886FAA"/>
    <w:rsid w:val="00895E17"/>
    <w:rsid w:val="00896357"/>
    <w:rsid w:val="00896ED9"/>
    <w:rsid w:val="008A0593"/>
    <w:rsid w:val="008A1B5D"/>
    <w:rsid w:val="008A5CC4"/>
    <w:rsid w:val="008A6AD9"/>
    <w:rsid w:val="008A7C64"/>
    <w:rsid w:val="008B2785"/>
    <w:rsid w:val="008B3683"/>
    <w:rsid w:val="008B4956"/>
    <w:rsid w:val="008B6D1F"/>
    <w:rsid w:val="008C3161"/>
    <w:rsid w:val="008C7106"/>
    <w:rsid w:val="008C7323"/>
    <w:rsid w:val="008D04DC"/>
    <w:rsid w:val="008D098B"/>
    <w:rsid w:val="008D2A8E"/>
    <w:rsid w:val="008D3301"/>
    <w:rsid w:val="008D370D"/>
    <w:rsid w:val="008D5128"/>
    <w:rsid w:val="008E0C3B"/>
    <w:rsid w:val="008E1849"/>
    <w:rsid w:val="008E332B"/>
    <w:rsid w:val="008E3BCB"/>
    <w:rsid w:val="008E4630"/>
    <w:rsid w:val="008E46F2"/>
    <w:rsid w:val="008E4A25"/>
    <w:rsid w:val="008E5AEC"/>
    <w:rsid w:val="008E6C81"/>
    <w:rsid w:val="008F1068"/>
    <w:rsid w:val="008F4B86"/>
    <w:rsid w:val="00901CEB"/>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36573"/>
    <w:rsid w:val="00940F70"/>
    <w:rsid w:val="00942AA2"/>
    <w:rsid w:val="00946F5B"/>
    <w:rsid w:val="009504F2"/>
    <w:rsid w:val="00950A48"/>
    <w:rsid w:val="00952338"/>
    <w:rsid w:val="0095273F"/>
    <w:rsid w:val="009535EE"/>
    <w:rsid w:val="00955118"/>
    <w:rsid w:val="00956E72"/>
    <w:rsid w:val="00957370"/>
    <w:rsid w:val="00961690"/>
    <w:rsid w:val="00963815"/>
    <w:rsid w:val="00965B33"/>
    <w:rsid w:val="0097112D"/>
    <w:rsid w:val="0097289C"/>
    <w:rsid w:val="009739C0"/>
    <w:rsid w:val="00982817"/>
    <w:rsid w:val="00983362"/>
    <w:rsid w:val="009854DF"/>
    <w:rsid w:val="00985DD0"/>
    <w:rsid w:val="009867D6"/>
    <w:rsid w:val="00986E49"/>
    <w:rsid w:val="00990685"/>
    <w:rsid w:val="009906E8"/>
    <w:rsid w:val="00990A43"/>
    <w:rsid w:val="00997526"/>
    <w:rsid w:val="009A0E1B"/>
    <w:rsid w:val="009A2943"/>
    <w:rsid w:val="009A3908"/>
    <w:rsid w:val="009A55F5"/>
    <w:rsid w:val="009A5C07"/>
    <w:rsid w:val="009B34F4"/>
    <w:rsid w:val="009B3ABB"/>
    <w:rsid w:val="009B3CC5"/>
    <w:rsid w:val="009B63FE"/>
    <w:rsid w:val="009B6715"/>
    <w:rsid w:val="009C4798"/>
    <w:rsid w:val="009C7667"/>
    <w:rsid w:val="009C7C90"/>
    <w:rsid w:val="009D3945"/>
    <w:rsid w:val="009D3D65"/>
    <w:rsid w:val="009E04BB"/>
    <w:rsid w:val="009E173B"/>
    <w:rsid w:val="009E3171"/>
    <w:rsid w:val="009E6668"/>
    <w:rsid w:val="009E7909"/>
    <w:rsid w:val="009E7DDF"/>
    <w:rsid w:val="009F225B"/>
    <w:rsid w:val="009F4239"/>
    <w:rsid w:val="009F6A8B"/>
    <w:rsid w:val="00A0043A"/>
    <w:rsid w:val="00A03B18"/>
    <w:rsid w:val="00A03DF3"/>
    <w:rsid w:val="00A04D00"/>
    <w:rsid w:val="00A126DF"/>
    <w:rsid w:val="00A17E1C"/>
    <w:rsid w:val="00A210F3"/>
    <w:rsid w:val="00A22287"/>
    <w:rsid w:val="00A24FFD"/>
    <w:rsid w:val="00A27BFE"/>
    <w:rsid w:val="00A35A20"/>
    <w:rsid w:val="00A362D0"/>
    <w:rsid w:val="00A36F7A"/>
    <w:rsid w:val="00A40933"/>
    <w:rsid w:val="00A411BA"/>
    <w:rsid w:val="00A42970"/>
    <w:rsid w:val="00A442F2"/>
    <w:rsid w:val="00A44E2F"/>
    <w:rsid w:val="00A45CAD"/>
    <w:rsid w:val="00A462B3"/>
    <w:rsid w:val="00A46AA0"/>
    <w:rsid w:val="00A57130"/>
    <w:rsid w:val="00A57378"/>
    <w:rsid w:val="00A605AD"/>
    <w:rsid w:val="00A60B9D"/>
    <w:rsid w:val="00A626F3"/>
    <w:rsid w:val="00A62AF6"/>
    <w:rsid w:val="00A62EBB"/>
    <w:rsid w:val="00A63066"/>
    <w:rsid w:val="00A63D5B"/>
    <w:rsid w:val="00A63F79"/>
    <w:rsid w:val="00A64200"/>
    <w:rsid w:val="00A6596A"/>
    <w:rsid w:val="00A65BAB"/>
    <w:rsid w:val="00A706A9"/>
    <w:rsid w:val="00A75D64"/>
    <w:rsid w:val="00A77589"/>
    <w:rsid w:val="00A7768F"/>
    <w:rsid w:val="00A82F9A"/>
    <w:rsid w:val="00A94718"/>
    <w:rsid w:val="00A96350"/>
    <w:rsid w:val="00AA02EB"/>
    <w:rsid w:val="00AA3049"/>
    <w:rsid w:val="00AA41D3"/>
    <w:rsid w:val="00AA4B8E"/>
    <w:rsid w:val="00AA579A"/>
    <w:rsid w:val="00AA5ED1"/>
    <w:rsid w:val="00AA7889"/>
    <w:rsid w:val="00AA7B2F"/>
    <w:rsid w:val="00AB06E7"/>
    <w:rsid w:val="00AB2709"/>
    <w:rsid w:val="00AB397A"/>
    <w:rsid w:val="00AB595D"/>
    <w:rsid w:val="00AB67F7"/>
    <w:rsid w:val="00AC0C4D"/>
    <w:rsid w:val="00AC2C80"/>
    <w:rsid w:val="00AC7342"/>
    <w:rsid w:val="00AC7E9D"/>
    <w:rsid w:val="00AD46D6"/>
    <w:rsid w:val="00AD476B"/>
    <w:rsid w:val="00AD4E2E"/>
    <w:rsid w:val="00AE1C31"/>
    <w:rsid w:val="00AE2549"/>
    <w:rsid w:val="00AE45B7"/>
    <w:rsid w:val="00AE4BC3"/>
    <w:rsid w:val="00AE5E33"/>
    <w:rsid w:val="00AE5F35"/>
    <w:rsid w:val="00AE6679"/>
    <w:rsid w:val="00AE7311"/>
    <w:rsid w:val="00AE7D6E"/>
    <w:rsid w:val="00AF2C72"/>
    <w:rsid w:val="00AF32DD"/>
    <w:rsid w:val="00AF4C33"/>
    <w:rsid w:val="00AF4E20"/>
    <w:rsid w:val="00AF5224"/>
    <w:rsid w:val="00AF5E31"/>
    <w:rsid w:val="00B0220C"/>
    <w:rsid w:val="00B10448"/>
    <w:rsid w:val="00B10D89"/>
    <w:rsid w:val="00B11FEC"/>
    <w:rsid w:val="00B1573B"/>
    <w:rsid w:val="00B15EE5"/>
    <w:rsid w:val="00B161CA"/>
    <w:rsid w:val="00B16D19"/>
    <w:rsid w:val="00B17D90"/>
    <w:rsid w:val="00B208AD"/>
    <w:rsid w:val="00B21435"/>
    <w:rsid w:val="00B218F0"/>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61DA2"/>
    <w:rsid w:val="00B625A0"/>
    <w:rsid w:val="00B635F9"/>
    <w:rsid w:val="00B63E81"/>
    <w:rsid w:val="00B64959"/>
    <w:rsid w:val="00B66C83"/>
    <w:rsid w:val="00B7005D"/>
    <w:rsid w:val="00B70289"/>
    <w:rsid w:val="00B70845"/>
    <w:rsid w:val="00B71769"/>
    <w:rsid w:val="00B748B3"/>
    <w:rsid w:val="00B75BAE"/>
    <w:rsid w:val="00B8083F"/>
    <w:rsid w:val="00B84308"/>
    <w:rsid w:val="00B8498E"/>
    <w:rsid w:val="00B85C8F"/>
    <w:rsid w:val="00B86C48"/>
    <w:rsid w:val="00B86D5E"/>
    <w:rsid w:val="00B86DDF"/>
    <w:rsid w:val="00B92C1A"/>
    <w:rsid w:val="00B9328C"/>
    <w:rsid w:val="00B940DF"/>
    <w:rsid w:val="00B973D0"/>
    <w:rsid w:val="00BA6439"/>
    <w:rsid w:val="00BB27DF"/>
    <w:rsid w:val="00BB7132"/>
    <w:rsid w:val="00BC2552"/>
    <w:rsid w:val="00BC622B"/>
    <w:rsid w:val="00BC6517"/>
    <w:rsid w:val="00BC66E7"/>
    <w:rsid w:val="00BC7F02"/>
    <w:rsid w:val="00BD2690"/>
    <w:rsid w:val="00BD5423"/>
    <w:rsid w:val="00BD659A"/>
    <w:rsid w:val="00BE0B73"/>
    <w:rsid w:val="00BE119E"/>
    <w:rsid w:val="00BE1F93"/>
    <w:rsid w:val="00BE2BF0"/>
    <w:rsid w:val="00BE3275"/>
    <w:rsid w:val="00BE4FED"/>
    <w:rsid w:val="00BE540A"/>
    <w:rsid w:val="00BE6A8B"/>
    <w:rsid w:val="00BF1CCD"/>
    <w:rsid w:val="00BF3706"/>
    <w:rsid w:val="00BF3B8F"/>
    <w:rsid w:val="00C0337D"/>
    <w:rsid w:val="00C03938"/>
    <w:rsid w:val="00C03AC6"/>
    <w:rsid w:val="00C041A2"/>
    <w:rsid w:val="00C10662"/>
    <w:rsid w:val="00C13584"/>
    <w:rsid w:val="00C13795"/>
    <w:rsid w:val="00C13C76"/>
    <w:rsid w:val="00C1412D"/>
    <w:rsid w:val="00C15431"/>
    <w:rsid w:val="00C20564"/>
    <w:rsid w:val="00C22111"/>
    <w:rsid w:val="00C23C35"/>
    <w:rsid w:val="00C24250"/>
    <w:rsid w:val="00C2535E"/>
    <w:rsid w:val="00C26211"/>
    <w:rsid w:val="00C26A7D"/>
    <w:rsid w:val="00C26EEA"/>
    <w:rsid w:val="00C30AC5"/>
    <w:rsid w:val="00C31268"/>
    <w:rsid w:val="00C32ABF"/>
    <w:rsid w:val="00C32E9D"/>
    <w:rsid w:val="00C34A84"/>
    <w:rsid w:val="00C3611F"/>
    <w:rsid w:val="00C366CB"/>
    <w:rsid w:val="00C414EE"/>
    <w:rsid w:val="00C50D06"/>
    <w:rsid w:val="00C50F1D"/>
    <w:rsid w:val="00C528CF"/>
    <w:rsid w:val="00C532A5"/>
    <w:rsid w:val="00C542D0"/>
    <w:rsid w:val="00C609A1"/>
    <w:rsid w:val="00C61851"/>
    <w:rsid w:val="00C63851"/>
    <w:rsid w:val="00C63E31"/>
    <w:rsid w:val="00C66201"/>
    <w:rsid w:val="00C74074"/>
    <w:rsid w:val="00C76A03"/>
    <w:rsid w:val="00C7787C"/>
    <w:rsid w:val="00C8028F"/>
    <w:rsid w:val="00C815AD"/>
    <w:rsid w:val="00C82538"/>
    <w:rsid w:val="00C85E94"/>
    <w:rsid w:val="00C871CD"/>
    <w:rsid w:val="00C90121"/>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3730"/>
    <w:rsid w:val="00CD4BDE"/>
    <w:rsid w:val="00CD79AE"/>
    <w:rsid w:val="00CD7E91"/>
    <w:rsid w:val="00CE0576"/>
    <w:rsid w:val="00CE4C07"/>
    <w:rsid w:val="00CE5D77"/>
    <w:rsid w:val="00CF010A"/>
    <w:rsid w:val="00CF1C52"/>
    <w:rsid w:val="00CF2D90"/>
    <w:rsid w:val="00CF3E9E"/>
    <w:rsid w:val="00CF4AD9"/>
    <w:rsid w:val="00CF51E5"/>
    <w:rsid w:val="00D0007B"/>
    <w:rsid w:val="00D01615"/>
    <w:rsid w:val="00D07A78"/>
    <w:rsid w:val="00D1087A"/>
    <w:rsid w:val="00D112AD"/>
    <w:rsid w:val="00D11AD9"/>
    <w:rsid w:val="00D11E75"/>
    <w:rsid w:val="00D21F62"/>
    <w:rsid w:val="00D25060"/>
    <w:rsid w:val="00D25618"/>
    <w:rsid w:val="00D2655C"/>
    <w:rsid w:val="00D319AA"/>
    <w:rsid w:val="00D32790"/>
    <w:rsid w:val="00D4112D"/>
    <w:rsid w:val="00D42A35"/>
    <w:rsid w:val="00D42EA8"/>
    <w:rsid w:val="00D43FA6"/>
    <w:rsid w:val="00D44176"/>
    <w:rsid w:val="00D45806"/>
    <w:rsid w:val="00D4624A"/>
    <w:rsid w:val="00D50179"/>
    <w:rsid w:val="00D52144"/>
    <w:rsid w:val="00D52BF3"/>
    <w:rsid w:val="00D53550"/>
    <w:rsid w:val="00D53C2F"/>
    <w:rsid w:val="00D557A1"/>
    <w:rsid w:val="00D56CE1"/>
    <w:rsid w:val="00D6196D"/>
    <w:rsid w:val="00D62193"/>
    <w:rsid w:val="00D670B6"/>
    <w:rsid w:val="00D672CA"/>
    <w:rsid w:val="00D679A2"/>
    <w:rsid w:val="00D70BDF"/>
    <w:rsid w:val="00D730DD"/>
    <w:rsid w:val="00D743DE"/>
    <w:rsid w:val="00D753BC"/>
    <w:rsid w:val="00D757D5"/>
    <w:rsid w:val="00D773F5"/>
    <w:rsid w:val="00D844CD"/>
    <w:rsid w:val="00D86B14"/>
    <w:rsid w:val="00D86C0A"/>
    <w:rsid w:val="00D86CDE"/>
    <w:rsid w:val="00D91B82"/>
    <w:rsid w:val="00D923F2"/>
    <w:rsid w:val="00DA1B9A"/>
    <w:rsid w:val="00DA53F3"/>
    <w:rsid w:val="00DA60BB"/>
    <w:rsid w:val="00DA7B6D"/>
    <w:rsid w:val="00DB1EF0"/>
    <w:rsid w:val="00DB2528"/>
    <w:rsid w:val="00DB32D0"/>
    <w:rsid w:val="00DB7753"/>
    <w:rsid w:val="00DC255E"/>
    <w:rsid w:val="00DC5457"/>
    <w:rsid w:val="00DC69F1"/>
    <w:rsid w:val="00DE0754"/>
    <w:rsid w:val="00DE093B"/>
    <w:rsid w:val="00DE0A17"/>
    <w:rsid w:val="00DE1D60"/>
    <w:rsid w:val="00DE4BE7"/>
    <w:rsid w:val="00DE5572"/>
    <w:rsid w:val="00DE796D"/>
    <w:rsid w:val="00DF364B"/>
    <w:rsid w:val="00DF443F"/>
    <w:rsid w:val="00E030D4"/>
    <w:rsid w:val="00E03787"/>
    <w:rsid w:val="00E057EC"/>
    <w:rsid w:val="00E05BED"/>
    <w:rsid w:val="00E07DBF"/>
    <w:rsid w:val="00E116C9"/>
    <w:rsid w:val="00E11901"/>
    <w:rsid w:val="00E1405C"/>
    <w:rsid w:val="00E15D40"/>
    <w:rsid w:val="00E1663F"/>
    <w:rsid w:val="00E16740"/>
    <w:rsid w:val="00E2251C"/>
    <w:rsid w:val="00E228F6"/>
    <w:rsid w:val="00E23345"/>
    <w:rsid w:val="00E278E8"/>
    <w:rsid w:val="00E30F1A"/>
    <w:rsid w:val="00E332EB"/>
    <w:rsid w:val="00E33442"/>
    <w:rsid w:val="00E33EF2"/>
    <w:rsid w:val="00E372EA"/>
    <w:rsid w:val="00E42515"/>
    <w:rsid w:val="00E44770"/>
    <w:rsid w:val="00E513A1"/>
    <w:rsid w:val="00E522FE"/>
    <w:rsid w:val="00E543B1"/>
    <w:rsid w:val="00E57FF6"/>
    <w:rsid w:val="00E6533C"/>
    <w:rsid w:val="00E6667E"/>
    <w:rsid w:val="00E66E13"/>
    <w:rsid w:val="00E72253"/>
    <w:rsid w:val="00E72CE0"/>
    <w:rsid w:val="00E77652"/>
    <w:rsid w:val="00E77A0D"/>
    <w:rsid w:val="00E77AC4"/>
    <w:rsid w:val="00E77F83"/>
    <w:rsid w:val="00E80422"/>
    <w:rsid w:val="00E8069D"/>
    <w:rsid w:val="00E82924"/>
    <w:rsid w:val="00E83A3A"/>
    <w:rsid w:val="00E857F7"/>
    <w:rsid w:val="00E85983"/>
    <w:rsid w:val="00E85E14"/>
    <w:rsid w:val="00E9695C"/>
    <w:rsid w:val="00E9755B"/>
    <w:rsid w:val="00E9779C"/>
    <w:rsid w:val="00EA0232"/>
    <w:rsid w:val="00EA4F7C"/>
    <w:rsid w:val="00EB3933"/>
    <w:rsid w:val="00EB3C1A"/>
    <w:rsid w:val="00EB3E74"/>
    <w:rsid w:val="00EB6F52"/>
    <w:rsid w:val="00EC0809"/>
    <w:rsid w:val="00EC1272"/>
    <w:rsid w:val="00EC3BD4"/>
    <w:rsid w:val="00EC4C97"/>
    <w:rsid w:val="00EC4E5C"/>
    <w:rsid w:val="00ED0713"/>
    <w:rsid w:val="00ED0E87"/>
    <w:rsid w:val="00ED4D39"/>
    <w:rsid w:val="00ED75DE"/>
    <w:rsid w:val="00ED7BDC"/>
    <w:rsid w:val="00ED7F87"/>
    <w:rsid w:val="00EE1973"/>
    <w:rsid w:val="00EE3605"/>
    <w:rsid w:val="00EE69AF"/>
    <w:rsid w:val="00EE6EFD"/>
    <w:rsid w:val="00EE70BB"/>
    <w:rsid w:val="00EF1A68"/>
    <w:rsid w:val="00EF3B5D"/>
    <w:rsid w:val="00EF403E"/>
    <w:rsid w:val="00EF4AB2"/>
    <w:rsid w:val="00EF6701"/>
    <w:rsid w:val="00F00037"/>
    <w:rsid w:val="00F0075E"/>
    <w:rsid w:val="00F032FE"/>
    <w:rsid w:val="00F03394"/>
    <w:rsid w:val="00F1194D"/>
    <w:rsid w:val="00F120E1"/>
    <w:rsid w:val="00F13188"/>
    <w:rsid w:val="00F13661"/>
    <w:rsid w:val="00F14D2B"/>
    <w:rsid w:val="00F15B55"/>
    <w:rsid w:val="00F16067"/>
    <w:rsid w:val="00F176BB"/>
    <w:rsid w:val="00F2194B"/>
    <w:rsid w:val="00F23797"/>
    <w:rsid w:val="00F249A4"/>
    <w:rsid w:val="00F307ED"/>
    <w:rsid w:val="00F31548"/>
    <w:rsid w:val="00F33E4A"/>
    <w:rsid w:val="00F35B9A"/>
    <w:rsid w:val="00F35BBF"/>
    <w:rsid w:val="00F35C83"/>
    <w:rsid w:val="00F420E7"/>
    <w:rsid w:val="00F42D8E"/>
    <w:rsid w:val="00F46DA6"/>
    <w:rsid w:val="00F51112"/>
    <w:rsid w:val="00F53F7C"/>
    <w:rsid w:val="00F558E7"/>
    <w:rsid w:val="00F62D70"/>
    <w:rsid w:val="00F66B14"/>
    <w:rsid w:val="00F66B33"/>
    <w:rsid w:val="00F670FA"/>
    <w:rsid w:val="00F67A74"/>
    <w:rsid w:val="00F71D1D"/>
    <w:rsid w:val="00F80C3F"/>
    <w:rsid w:val="00F8398C"/>
    <w:rsid w:val="00F85A4F"/>
    <w:rsid w:val="00F873FA"/>
    <w:rsid w:val="00F9037A"/>
    <w:rsid w:val="00F91EE0"/>
    <w:rsid w:val="00F92065"/>
    <w:rsid w:val="00F928B9"/>
    <w:rsid w:val="00F93A5B"/>
    <w:rsid w:val="00F93AB4"/>
    <w:rsid w:val="00F93C84"/>
    <w:rsid w:val="00FA0325"/>
    <w:rsid w:val="00FA3B6B"/>
    <w:rsid w:val="00FA5EC4"/>
    <w:rsid w:val="00FA7A9C"/>
    <w:rsid w:val="00FB0A2A"/>
    <w:rsid w:val="00FB10A8"/>
    <w:rsid w:val="00FB1B76"/>
    <w:rsid w:val="00FB1D13"/>
    <w:rsid w:val="00FB3296"/>
    <w:rsid w:val="00FB3504"/>
    <w:rsid w:val="00FB5080"/>
    <w:rsid w:val="00FB718D"/>
    <w:rsid w:val="00FC2F10"/>
    <w:rsid w:val="00FC3090"/>
    <w:rsid w:val="00FC3430"/>
    <w:rsid w:val="00FC5AE2"/>
    <w:rsid w:val="00FD5CB6"/>
    <w:rsid w:val="00FD6E38"/>
    <w:rsid w:val="00FE5061"/>
    <w:rsid w:val="00FF1A08"/>
    <w:rsid w:val="00FF3CC7"/>
    <w:rsid w:val="00FF46F4"/>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0360"/>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styleId="Revision">
    <w:name w:val="Revision"/>
    <w:hidden/>
    <w:uiPriority w:val="99"/>
    <w:semiHidden/>
    <w:rsid w:val="00DC5457"/>
    <w:pPr>
      <w:spacing w:after="0" w:line="240" w:lineRule="auto"/>
    </w:pPr>
    <w:rPr>
      <w:rFonts w:eastAsia="SimSun" w:cs="Times New Roman"/>
      <w:szCs w:val="20"/>
    </w:rPr>
  </w:style>
  <w:style w:type="paragraph" w:customStyle="1" w:styleId="EW">
    <w:name w:val="EW"/>
    <w:basedOn w:val="Normal"/>
    <w:rsid w:val="009906E8"/>
    <w:pPr>
      <w:keepLines/>
      <w:overflowPunct/>
      <w:autoSpaceDE/>
      <w:autoSpaceDN/>
      <w:adjustRightInd/>
      <w:spacing w:after="0"/>
      <w:ind w:left="1702" w:hanging="1418"/>
      <w:textAlignment w:val="auto"/>
    </w:pPr>
    <w:rPr>
      <w:rFonts w:ascii="Times New Roman" w:eastAsia="Malgun Gothic"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21859262">
      <w:bodyDiv w:val="1"/>
      <w:marLeft w:val="0"/>
      <w:marRight w:val="0"/>
      <w:marTop w:val="0"/>
      <w:marBottom w:val="0"/>
      <w:divBdr>
        <w:top w:val="none" w:sz="0" w:space="0" w:color="auto"/>
        <w:left w:val="none" w:sz="0" w:space="0" w:color="auto"/>
        <w:bottom w:val="none" w:sz="0" w:space="0" w:color="auto"/>
        <w:right w:val="none" w:sz="0" w:space="0" w:color="auto"/>
      </w:divBdr>
    </w:div>
    <w:div w:id="1026564414">
      <w:bodyDiv w:val="1"/>
      <w:marLeft w:val="0"/>
      <w:marRight w:val="0"/>
      <w:marTop w:val="0"/>
      <w:marBottom w:val="0"/>
      <w:divBdr>
        <w:top w:val="none" w:sz="0" w:space="0" w:color="auto"/>
        <w:left w:val="none" w:sz="0" w:space="0" w:color="auto"/>
        <w:bottom w:val="none" w:sz="0" w:space="0" w:color="auto"/>
        <w:right w:val="none" w:sz="0" w:space="0" w:color="auto"/>
      </w:divBdr>
    </w:div>
    <w:div w:id="121176896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5EACB-B08F-47EC-A08A-69E4A23C0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5</Pages>
  <Words>1774</Words>
  <Characters>10118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40</cp:revision>
  <dcterms:created xsi:type="dcterms:W3CDTF">2018-05-11T02:50:00Z</dcterms:created>
  <dcterms:modified xsi:type="dcterms:W3CDTF">2018-05-11T21:04:00Z</dcterms:modified>
</cp:coreProperties>
</file>